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76" w:lineRule="auto"/>
        <w:jc w:val="center"/>
        <w:rPr>
          <w:rFonts w:ascii="宋体" w:hAnsi="宋体" w:eastAsia="宋体" w:cs="宋体"/>
          <w:sz w:val="24"/>
          <w:szCs w:val="24"/>
        </w:rPr>
      </w:pPr>
      <w:r>
        <w:rPr>
          <w:rFonts w:hint="eastAsia" w:ascii="宋体" w:hAnsi="宋体" w:eastAsia="宋体" w:cs="宋体"/>
          <w:sz w:val="24"/>
          <w:szCs w:val="24"/>
        </w:rPr>
        <w:t xml:space="preserve"> </w:t>
      </w:r>
    </w:p>
    <w:p>
      <w:pPr>
        <w:spacing w:line="276" w:lineRule="auto"/>
        <w:jc w:val="center"/>
        <w:rPr>
          <w:rFonts w:ascii="宋体" w:hAnsi="宋体" w:eastAsia="宋体" w:cs="宋体"/>
          <w:sz w:val="24"/>
          <w:szCs w:val="24"/>
        </w:rPr>
      </w:pPr>
    </w:p>
    <w:p>
      <w:pPr>
        <w:spacing w:line="276" w:lineRule="auto"/>
        <w:jc w:val="center"/>
        <w:rPr>
          <w:rFonts w:hint="eastAsia" w:ascii="宋体" w:hAnsi="宋体" w:eastAsia="宋体" w:cs="宋体"/>
          <w:sz w:val="52"/>
          <w:szCs w:val="52"/>
        </w:rPr>
      </w:pPr>
    </w:p>
    <w:p>
      <w:pPr>
        <w:spacing w:line="276" w:lineRule="auto"/>
        <w:jc w:val="center"/>
        <w:rPr>
          <w:rFonts w:cs="宋体" w:asciiTheme="majorEastAsia" w:hAnsiTheme="majorEastAsia" w:eastAsiaTheme="majorEastAsia"/>
          <w:b/>
          <w:sz w:val="52"/>
          <w:szCs w:val="52"/>
        </w:rPr>
      </w:pPr>
    </w:p>
    <w:p>
      <w:pPr>
        <w:spacing w:line="276" w:lineRule="auto"/>
        <w:jc w:val="center"/>
        <w:rPr>
          <w:rFonts w:cs="宋体" w:asciiTheme="majorEastAsia" w:hAnsiTheme="majorEastAsia" w:eastAsiaTheme="majorEastAsia"/>
          <w:b/>
          <w:sz w:val="52"/>
          <w:szCs w:val="52"/>
        </w:rPr>
      </w:pPr>
      <w:r>
        <w:rPr>
          <w:rFonts w:hint="eastAsia" w:cs="宋体" w:asciiTheme="majorEastAsia" w:hAnsiTheme="majorEastAsia" w:eastAsiaTheme="majorEastAsia"/>
          <w:b/>
          <w:sz w:val="52"/>
          <w:szCs w:val="52"/>
        </w:rPr>
        <w:t>社</w:t>
      </w:r>
    </w:p>
    <w:p>
      <w:pPr>
        <w:spacing w:line="276" w:lineRule="auto"/>
        <w:jc w:val="center"/>
        <w:rPr>
          <w:rFonts w:cs="宋体" w:asciiTheme="majorEastAsia" w:hAnsiTheme="majorEastAsia" w:eastAsiaTheme="majorEastAsia"/>
          <w:b/>
          <w:sz w:val="52"/>
          <w:szCs w:val="52"/>
        </w:rPr>
      </w:pPr>
      <w:r>
        <w:rPr>
          <w:rFonts w:hint="eastAsia" w:cs="宋体" w:asciiTheme="majorEastAsia" w:hAnsiTheme="majorEastAsia" w:eastAsiaTheme="majorEastAsia"/>
          <w:b/>
          <w:sz w:val="52"/>
          <w:szCs w:val="52"/>
        </w:rPr>
        <w:t>会</w:t>
      </w:r>
    </w:p>
    <w:p>
      <w:pPr>
        <w:spacing w:line="276" w:lineRule="auto"/>
        <w:jc w:val="center"/>
        <w:rPr>
          <w:rFonts w:cs="宋体" w:asciiTheme="majorEastAsia" w:hAnsiTheme="majorEastAsia" w:eastAsiaTheme="majorEastAsia"/>
          <w:b/>
          <w:sz w:val="52"/>
          <w:szCs w:val="52"/>
        </w:rPr>
      </w:pPr>
      <w:r>
        <w:rPr>
          <w:rFonts w:hint="eastAsia" w:cs="宋体" w:asciiTheme="majorEastAsia" w:hAnsiTheme="majorEastAsia" w:eastAsiaTheme="majorEastAsia"/>
          <w:b/>
          <w:sz w:val="52"/>
          <w:szCs w:val="52"/>
        </w:rPr>
        <w:t>责</w:t>
      </w:r>
    </w:p>
    <w:p>
      <w:pPr>
        <w:spacing w:line="276" w:lineRule="auto"/>
        <w:jc w:val="center"/>
        <w:rPr>
          <w:rFonts w:cs="宋体" w:asciiTheme="majorEastAsia" w:hAnsiTheme="majorEastAsia" w:eastAsiaTheme="majorEastAsia"/>
          <w:b/>
          <w:sz w:val="52"/>
          <w:szCs w:val="52"/>
        </w:rPr>
      </w:pPr>
      <w:r>
        <w:rPr>
          <w:rFonts w:hint="eastAsia" w:cs="宋体" w:asciiTheme="majorEastAsia" w:hAnsiTheme="majorEastAsia" w:eastAsiaTheme="majorEastAsia"/>
          <w:b/>
          <w:sz w:val="52"/>
          <w:szCs w:val="52"/>
        </w:rPr>
        <w:t>任</w:t>
      </w:r>
    </w:p>
    <w:p>
      <w:pPr>
        <w:spacing w:line="276" w:lineRule="auto"/>
        <w:jc w:val="center"/>
        <w:rPr>
          <w:rFonts w:cs="宋体" w:asciiTheme="majorEastAsia" w:hAnsiTheme="majorEastAsia" w:eastAsiaTheme="majorEastAsia"/>
          <w:b/>
          <w:sz w:val="52"/>
          <w:szCs w:val="52"/>
        </w:rPr>
      </w:pPr>
      <w:r>
        <w:rPr>
          <w:rFonts w:hint="eastAsia" w:cs="宋体" w:asciiTheme="majorEastAsia" w:hAnsiTheme="majorEastAsia" w:eastAsiaTheme="majorEastAsia"/>
          <w:b/>
          <w:sz w:val="52"/>
          <w:szCs w:val="52"/>
        </w:rPr>
        <w:t>报</w:t>
      </w:r>
    </w:p>
    <w:p>
      <w:pPr>
        <w:spacing w:line="276" w:lineRule="auto"/>
        <w:jc w:val="center"/>
        <w:rPr>
          <w:rFonts w:cs="宋体" w:asciiTheme="majorEastAsia" w:hAnsiTheme="majorEastAsia" w:eastAsiaTheme="majorEastAsia"/>
          <w:b/>
          <w:sz w:val="52"/>
          <w:szCs w:val="52"/>
        </w:rPr>
      </w:pPr>
      <w:r>
        <w:rPr>
          <w:rFonts w:hint="eastAsia" w:cs="宋体" w:asciiTheme="majorEastAsia" w:hAnsiTheme="majorEastAsia" w:eastAsiaTheme="majorEastAsia"/>
          <w:b/>
          <w:sz w:val="52"/>
          <w:szCs w:val="52"/>
        </w:rPr>
        <w:t>告</w:t>
      </w:r>
    </w:p>
    <w:p>
      <w:pPr>
        <w:spacing w:line="276" w:lineRule="auto"/>
        <w:ind w:firstLine="3900" w:firstLineChars="750"/>
        <w:rPr>
          <w:rFonts w:ascii="宋体" w:hAnsi="宋体" w:eastAsia="宋体" w:cs="宋体"/>
          <w:sz w:val="52"/>
          <w:szCs w:val="52"/>
        </w:rPr>
      </w:pPr>
    </w:p>
    <w:p>
      <w:pPr>
        <w:spacing w:line="276" w:lineRule="auto"/>
        <w:ind w:firstLine="3900" w:firstLineChars="750"/>
        <w:rPr>
          <w:rFonts w:ascii="宋体" w:hAnsi="宋体" w:eastAsia="宋体" w:cs="宋体"/>
          <w:sz w:val="52"/>
          <w:szCs w:val="52"/>
        </w:rPr>
      </w:pPr>
    </w:p>
    <w:p>
      <w:pPr>
        <w:spacing w:line="276" w:lineRule="auto"/>
        <w:ind w:firstLine="3900" w:firstLineChars="750"/>
        <w:rPr>
          <w:rFonts w:ascii="宋体" w:hAnsi="宋体" w:eastAsia="宋体" w:cs="宋体"/>
          <w:sz w:val="52"/>
          <w:szCs w:val="52"/>
        </w:rPr>
      </w:pPr>
    </w:p>
    <w:p>
      <w:pPr>
        <w:spacing w:line="276" w:lineRule="auto"/>
        <w:ind w:firstLine="3900" w:firstLineChars="750"/>
        <w:rPr>
          <w:rFonts w:hint="eastAsia" w:ascii="宋体" w:hAnsi="宋体" w:eastAsia="宋体" w:cs="宋体"/>
          <w:sz w:val="52"/>
          <w:szCs w:val="52"/>
        </w:rPr>
      </w:pPr>
    </w:p>
    <w:p>
      <w:pPr>
        <w:spacing w:line="276" w:lineRule="auto"/>
        <w:ind w:firstLine="1440" w:firstLineChars="400"/>
        <w:rPr>
          <w:rFonts w:hint="eastAsia" w:ascii="宋体" w:hAnsi="宋体" w:eastAsia="宋体" w:cs="宋体"/>
          <w:sz w:val="36"/>
          <w:szCs w:val="44"/>
          <w:highlight w:val="none"/>
          <w:lang w:eastAsia="zh-CN"/>
        </w:rPr>
      </w:pPr>
      <w:r>
        <w:rPr>
          <w:rFonts w:hint="eastAsia" w:ascii="宋体" w:hAnsi="宋体" w:eastAsia="宋体" w:cs="宋体"/>
          <w:sz w:val="36"/>
          <w:szCs w:val="44"/>
          <w:highlight w:val="none"/>
          <w:lang w:eastAsia="zh-CN"/>
        </w:rPr>
        <w:t>浙江万赛汽车零部件股份有限公司</w:t>
      </w:r>
    </w:p>
    <w:p>
      <w:pPr>
        <w:spacing w:before="40" w:after="40" w:line="276" w:lineRule="auto"/>
        <w:jc w:val="center"/>
        <w:rPr>
          <w:rFonts w:ascii="宋体" w:hAnsi="宋体" w:eastAsia="宋体" w:cs="宋体"/>
          <w:sz w:val="36"/>
          <w:szCs w:val="36"/>
        </w:rPr>
      </w:pPr>
      <w:r>
        <w:rPr>
          <w:rFonts w:hint="eastAsia" w:ascii="宋体" w:hAnsi="宋体" w:eastAsia="宋体" w:cs="宋体"/>
          <w:sz w:val="36"/>
          <w:szCs w:val="36"/>
        </w:rPr>
        <w:t>报告日期：</w:t>
      </w:r>
      <w:r>
        <w:rPr>
          <w:rFonts w:ascii="宋体" w:hAnsi="宋体" w:eastAsia="宋体" w:cs="宋体"/>
          <w:sz w:val="36"/>
          <w:szCs w:val="36"/>
        </w:rPr>
        <w:t>20</w:t>
      </w:r>
      <w:r>
        <w:rPr>
          <w:rFonts w:hint="eastAsia" w:ascii="宋体" w:hAnsi="宋体" w:eastAsia="宋体" w:cs="宋体"/>
          <w:sz w:val="36"/>
          <w:szCs w:val="36"/>
          <w:lang w:val="en-US" w:eastAsia="zh-CN"/>
        </w:rPr>
        <w:t>21</w:t>
      </w:r>
      <w:r>
        <w:rPr>
          <w:rFonts w:hint="eastAsia" w:ascii="宋体" w:hAnsi="宋体" w:eastAsia="宋体" w:cs="宋体"/>
          <w:sz w:val="36"/>
          <w:szCs w:val="36"/>
        </w:rPr>
        <w:t>年</w:t>
      </w:r>
      <w:r>
        <w:rPr>
          <w:rFonts w:hint="eastAsia" w:ascii="宋体" w:hAnsi="宋体" w:eastAsia="宋体" w:cs="宋体"/>
          <w:sz w:val="36"/>
          <w:szCs w:val="36"/>
          <w:lang w:val="en-US" w:eastAsia="zh-CN"/>
        </w:rPr>
        <w:t>9</w:t>
      </w:r>
      <w:r>
        <w:rPr>
          <w:rFonts w:hint="eastAsia" w:ascii="宋体" w:hAnsi="宋体" w:eastAsia="宋体" w:cs="宋体"/>
          <w:sz w:val="36"/>
          <w:szCs w:val="36"/>
        </w:rPr>
        <w:t>月</w:t>
      </w:r>
      <w:r>
        <w:rPr>
          <w:rFonts w:hint="eastAsia" w:ascii="宋体" w:hAnsi="宋体" w:eastAsia="宋体" w:cs="宋体"/>
          <w:sz w:val="36"/>
          <w:szCs w:val="36"/>
          <w:lang w:val="en-US" w:eastAsia="zh-CN"/>
        </w:rPr>
        <w:t>01</w:t>
      </w:r>
      <w:r>
        <w:rPr>
          <w:rFonts w:hint="eastAsia" w:ascii="宋体" w:hAnsi="宋体" w:eastAsia="宋体" w:cs="宋体"/>
          <w:sz w:val="36"/>
          <w:szCs w:val="36"/>
        </w:rPr>
        <w:t>日</w:t>
      </w:r>
    </w:p>
    <w:p>
      <w:pPr>
        <w:widowControl/>
        <w:spacing w:line="276" w:lineRule="auto"/>
        <w:jc w:val="left"/>
        <w:rPr>
          <w:rFonts w:ascii="宋体" w:hAnsi="宋体" w:eastAsia="宋体" w:cs="宋体"/>
          <w:sz w:val="36"/>
          <w:szCs w:val="36"/>
        </w:rPr>
      </w:pPr>
      <w:r>
        <w:rPr>
          <w:rFonts w:ascii="宋体" w:hAnsi="宋体" w:eastAsia="宋体" w:cs="宋体"/>
          <w:sz w:val="36"/>
          <w:szCs w:val="36"/>
        </w:rPr>
        <w:br w:type="page"/>
      </w:r>
    </w:p>
    <w:p>
      <w:pPr>
        <w:spacing w:before="120" w:beforeLines="50" w:after="120" w:afterLines="50" w:line="360" w:lineRule="auto"/>
        <w:outlineLvl w:val="0"/>
        <w:rPr>
          <w:rFonts w:cs="Times New Roman" w:asciiTheme="majorEastAsia" w:hAnsiTheme="majorEastAsia" w:eastAsiaTheme="majorEastAsia"/>
          <w:b/>
          <w:color w:val="000000" w:themeColor="text1"/>
          <w:sz w:val="28"/>
          <w:szCs w:val="24"/>
          <w14:textFill>
            <w14:solidFill>
              <w14:schemeClr w14:val="tx1"/>
            </w14:solidFill>
          </w14:textFill>
        </w:rPr>
      </w:pPr>
      <w:bookmarkStart w:id="0" w:name="_Toc451610984"/>
      <w:bookmarkStart w:id="1" w:name="_Toc451610891"/>
      <w:r>
        <w:rPr>
          <w:rFonts w:hint="eastAsia" w:cs="Times New Roman" w:asciiTheme="majorEastAsia" w:hAnsiTheme="majorEastAsia" w:eastAsiaTheme="majorEastAsia"/>
          <w:b/>
          <w:color w:val="000000" w:themeColor="text1"/>
          <w:sz w:val="28"/>
          <w:szCs w:val="24"/>
          <w14:textFill>
            <w14:solidFill>
              <w14:schemeClr w14:val="tx1"/>
            </w14:solidFill>
          </w14:textFill>
        </w:rPr>
        <w:t>一、</w:t>
      </w:r>
      <w:r>
        <w:rPr>
          <w:rFonts w:cs="Times New Roman" w:asciiTheme="majorEastAsia" w:hAnsiTheme="majorEastAsia" w:eastAsiaTheme="majorEastAsia"/>
          <w:b/>
          <w:color w:val="000000" w:themeColor="text1"/>
          <w:sz w:val="28"/>
          <w:szCs w:val="24"/>
          <w14:textFill>
            <w14:solidFill>
              <w14:schemeClr w14:val="tx1"/>
            </w14:solidFill>
          </w14:textFill>
        </w:rPr>
        <w:t>公司简介</w:t>
      </w:r>
    </w:p>
    <w:p>
      <w:pPr>
        <w:spacing w:line="360" w:lineRule="auto"/>
        <w:ind w:firstLine="420"/>
        <w:rPr>
          <w:rFonts w:hint="eastAsia" w:ascii="宋体" w:hAnsi="宋体" w:eastAsia="宋体" w:cs="Times New Roman"/>
          <w:sz w:val="24"/>
          <w:szCs w:val="24"/>
          <w:highlight w:val="none"/>
        </w:rPr>
      </w:pPr>
      <w:r>
        <w:rPr>
          <w:rFonts w:hint="eastAsia" w:ascii="宋体" w:hAnsi="宋体" w:eastAsia="宋体" w:cs="Times New Roman"/>
          <w:sz w:val="24"/>
          <w:szCs w:val="24"/>
          <w:highlight w:val="none"/>
          <w:lang w:eastAsia="zh-CN"/>
        </w:rPr>
        <w:t>浙江万赛汽车零部件股份有限</w:t>
      </w:r>
      <w:r>
        <w:rPr>
          <w:rFonts w:hint="eastAsia" w:ascii="宋体" w:hAnsi="宋体" w:eastAsia="宋体" w:cs="Times New Roman"/>
          <w:sz w:val="24"/>
          <w:szCs w:val="24"/>
          <w:highlight w:val="none"/>
        </w:rPr>
        <w:t xml:space="preserve">公司组建于 2003 年，座落于金华市浦江县黄宅镇中兴路 11 号。公司占地面积为 </w:t>
      </w:r>
      <w:r>
        <w:rPr>
          <w:rFonts w:hint="eastAsia" w:ascii="宋体" w:hAnsi="宋体" w:eastAsia="宋体" w:cs="Times New Roman"/>
          <w:sz w:val="24"/>
          <w:szCs w:val="24"/>
          <w:highlight w:val="none"/>
          <w:lang w:val="en-US" w:eastAsia="zh-CN"/>
        </w:rPr>
        <w:t>7</w:t>
      </w:r>
      <w:r>
        <w:rPr>
          <w:rFonts w:hint="eastAsia" w:ascii="宋体" w:hAnsi="宋体" w:eastAsia="宋体" w:cs="Times New Roman"/>
          <w:sz w:val="24"/>
          <w:szCs w:val="24"/>
          <w:highlight w:val="none"/>
        </w:rPr>
        <w:t>0 亩。</w:t>
      </w:r>
    </w:p>
    <w:p>
      <w:pPr>
        <w:spacing w:line="360" w:lineRule="auto"/>
        <w:ind w:firstLine="420"/>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专业生产工程机械车、各类汽车、</w:t>
      </w:r>
      <w:r>
        <w:rPr>
          <w:rFonts w:hint="eastAsia" w:ascii="宋体" w:hAnsi="宋体" w:eastAsia="宋体" w:cs="Times New Roman"/>
          <w:sz w:val="24"/>
          <w:szCs w:val="24"/>
          <w:highlight w:val="none"/>
          <w:lang w:eastAsia="zh-CN"/>
        </w:rPr>
        <w:t>电动车、</w:t>
      </w:r>
      <w:r>
        <w:rPr>
          <w:rFonts w:hint="eastAsia" w:ascii="宋体" w:hAnsi="宋体" w:eastAsia="宋体" w:cs="Times New Roman"/>
          <w:sz w:val="24"/>
          <w:szCs w:val="24"/>
          <w:highlight w:val="none"/>
        </w:rPr>
        <w:t>摩托车刹车片，产品已达 1200 多种，是目前国内最大的盘式刹车片生产基地，在中国优秀摩擦材料的行列中，在世界舞台上，占据重要的位置。</w:t>
      </w:r>
    </w:p>
    <w:p>
      <w:pPr>
        <w:spacing w:line="360" w:lineRule="auto"/>
        <w:ind w:firstLine="420"/>
        <w:rPr>
          <w:rFonts w:hint="eastAsia" w:ascii="宋体" w:hAnsi="宋体" w:eastAsia="宋体" w:cs="Times New Roman"/>
          <w:sz w:val="24"/>
          <w:szCs w:val="24"/>
          <w:highlight w:val="none"/>
        </w:rPr>
      </w:pPr>
      <w:r>
        <w:rPr>
          <w:rFonts w:hint="eastAsia" w:ascii="宋体" w:hAnsi="宋体" w:eastAsia="宋体" w:cs="Times New Roman"/>
          <w:sz w:val="24"/>
          <w:szCs w:val="24"/>
          <w:highlight w:val="none"/>
          <w:lang w:eastAsia="zh-CN"/>
        </w:rPr>
        <w:t>目前</w:t>
      </w:r>
      <w:r>
        <w:rPr>
          <w:rFonts w:hint="eastAsia" w:ascii="宋体" w:hAnsi="宋体" w:eastAsia="宋体" w:cs="Times New Roman"/>
          <w:sz w:val="24"/>
          <w:szCs w:val="24"/>
          <w:highlight w:val="none"/>
        </w:rPr>
        <w:t>公司已顺利通过</w:t>
      </w:r>
      <w:r>
        <w:rPr>
          <w:rFonts w:hint="eastAsia" w:ascii="宋体" w:hAnsi="宋体" w:eastAsia="宋体" w:cs="Times New Roman"/>
          <w:sz w:val="24"/>
          <w:szCs w:val="24"/>
          <w:highlight w:val="none"/>
          <w:lang w:val="en-US" w:eastAsia="zh-CN"/>
        </w:rPr>
        <w:t>IATF</w:t>
      </w:r>
      <w:r>
        <w:rPr>
          <w:rFonts w:hint="eastAsia" w:ascii="宋体" w:hAnsi="宋体" w:eastAsia="宋体" w:cs="Times New Roman"/>
          <w:sz w:val="24"/>
          <w:szCs w:val="24"/>
          <w:highlight w:val="none"/>
        </w:rPr>
        <w:t>16949：2</w:t>
      </w:r>
      <w:r>
        <w:rPr>
          <w:rFonts w:hint="eastAsia" w:ascii="宋体" w:hAnsi="宋体" w:eastAsia="宋体" w:cs="Times New Roman"/>
          <w:sz w:val="24"/>
          <w:szCs w:val="24"/>
          <w:highlight w:val="none"/>
          <w:lang w:val="en-US" w:eastAsia="zh-CN"/>
        </w:rPr>
        <w:t>016</w:t>
      </w:r>
      <w:r>
        <w:rPr>
          <w:rFonts w:hint="eastAsia" w:ascii="宋体" w:hAnsi="宋体" w:eastAsia="宋体" w:cs="Times New Roman"/>
          <w:sz w:val="24"/>
          <w:szCs w:val="24"/>
          <w:highlight w:val="none"/>
        </w:rPr>
        <w:t xml:space="preserve"> 国际质量体系认证、ISO14001环境体系</w:t>
      </w:r>
      <w:r>
        <w:rPr>
          <w:rFonts w:hint="eastAsia" w:ascii="宋体" w:hAnsi="宋体" w:eastAsia="宋体" w:cs="Times New Roman"/>
          <w:sz w:val="24"/>
          <w:szCs w:val="24"/>
          <w:highlight w:val="none"/>
          <w:lang w:eastAsia="zh-CN"/>
        </w:rPr>
        <w:t>和</w:t>
      </w:r>
      <w:r>
        <w:rPr>
          <w:rFonts w:hint="eastAsia" w:ascii="宋体" w:hAnsi="宋体" w:eastAsia="宋体" w:cs="Times New Roman"/>
          <w:sz w:val="24"/>
          <w:szCs w:val="24"/>
          <w:highlight w:val="none"/>
          <w:lang w:val="en-US" w:eastAsia="zh-CN"/>
        </w:rPr>
        <w:t>ISO45001职业健康安全体系认证，</w:t>
      </w:r>
      <w:r>
        <w:rPr>
          <w:rFonts w:hint="eastAsia" w:ascii="宋体" w:hAnsi="宋体" w:eastAsia="宋体" w:cs="Times New Roman"/>
          <w:sz w:val="24"/>
          <w:szCs w:val="24"/>
          <w:highlight w:val="none"/>
        </w:rPr>
        <w:t xml:space="preserve">产品质量已达欧盟、美国行业标准要求，获得 E2、E11、E20 欧盟 E-MARK 认证，凭借研发、销售和服务一体化的强大实力，市场遍及欧美、中东、东南亚等 50 多个国家与地区。 </w:t>
      </w:r>
    </w:p>
    <w:p>
      <w:pPr>
        <w:spacing w:line="360" w:lineRule="auto"/>
        <w:ind w:firstLine="420"/>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 xml:space="preserve">2005 年成立了浦江万赛摩擦材料研究所，07 年获得金华市高新技术研发中心。公司所申报开发的“NAO 非金属基 NS.FM 材料”项目先后被定为“金华市重点科技项目”、“浙江省重点科技项目”、“国家火炬计划项目”，同时我司的另一研发课题“碳化硅晶须（β-SiC）粉末冶金”被审定为“浙江省重点科技项目”，08 年公司被浙江省评为“浙江省高新技术企业”。08 年 6 月公司开始导入 ERP 系统，公司信息化管理全面展开，为企业建立现代职业化管理平台奠定了基础。09 年度公司 winsafe 牌制动衬片被认定为“浙江省名牌产品”。 放眼世界，着眼未来。客户的需求是我们服务的唯一前提，客户一分投入，我们十分努力，争取百分效果，力求做到直接、有效、突出，以专业化品牌产品赢得市场，也赢得客户的信赖。公司将禀承“技术上追求高起点”、“质量上追求零缺陷”、“成本上追求零浪费”、“交货上追求零等待”的经营理念，与社会各界密切合作，提供永不落伍的优质刹车片和完善的服务，为国内外汽车零配件和汽车工业的发展作出自己应有的贡献。 </w:t>
      </w:r>
    </w:p>
    <w:p>
      <w:pPr>
        <w:spacing w:line="360" w:lineRule="auto"/>
        <w:ind w:firstLine="420"/>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 xml:space="preserve">在公司运营进程中，强调员工素质及技能的培训，强调人品决定产品，注重生产细节。通过文化活动将企业的价值观、企业理念潜移默化地传递给每一个员工，并致力于培养员工对企业高度的使命感、荣誉感和归属感，为万赛发展提供源源不断的动力。 </w:t>
      </w:r>
    </w:p>
    <w:p>
      <w:pPr>
        <w:spacing w:line="360" w:lineRule="auto"/>
        <w:ind w:firstLine="420"/>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万赛文化，凝聚万赛思想；万赛理念，构筑万赛品牌！</w:t>
      </w:r>
    </w:p>
    <w:p>
      <w:pPr>
        <w:spacing w:line="360" w:lineRule="auto"/>
        <w:ind w:firstLine="420"/>
        <w:rPr>
          <w:rFonts w:hint="eastAsia" w:ascii="宋体" w:hAnsi="宋体" w:eastAsia="宋体" w:cs="Times New Roman"/>
          <w:sz w:val="24"/>
          <w:szCs w:val="24"/>
          <w:highlight w:val="none"/>
        </w:rPr>
      </w:pPr>
    </w:p>
    <w:p>
      <w:pPr>
        <w:spacing w:line="360" w:lineRule="auto"/>
        <w:ind w:firstLine="420"/>
        <w:rPr>
          <w:rFonts w:hint="eastAsia" w:ascii="宋体" w:hAnsi="宋体" w:eastAsia="宋体" w:cs="Times New Roman"/>
          <w:sz w:val="24"/>
          <w:szCs w:val="24"/>
          <w:highlight w:val="none"/>
        </w:rPr>
      </w:pPr>
    </w:p>
    <w:p>
      <w:pPr>
        <w:spacing w:line="360" w:lineRule="auto"/>
        <w:ind w:firstLine="422"/>
        <w:rPr>
          <w:rFonts w:ascii="宋体" w:hAnsi="宋体" w:eastAsia="宋体" w:cs="Times New Roman"/>
          <w:b/>
          <w:sz w:val="24"/>
          <w:szCs w:val="24"/>
          <w:highlight w:val="none"/>
        </w:rPr>
      </w:pPr>
      <w:r>
        <w:rPr>
          <w:rFonts w:hint="eastAsia" w:ascii="宋体" w:hAnsi="宋体" w:eastAsia="宋体" w:cs="Times New Roman"/>
          <w:b/>
          <w:sz w:val="24"/>
          <w:szCs w:val="24"/>
          <w:highlight w:val="none"/>
        </w:rPr>
        <w:t>1、公司的使命：创立国际化有影响的百年企业。</w:t>
      </w:r>
    </w:p>
    <w:p>
      <w:pPr>
        <w:spacing w:line="360" w:lineRule="auto"/>
        <w:ind w:firstLine="472" w:firstLineChars="196"/>
        <w:rPr>
          <w:rFonts w:ascii="宋体" w:hAnsi="宋体" w:eastAsia="宋体" w:cs="Times New Roman"/>
          <w:b/>
          <w:sz w:val="24"/>
          <w:szCs w:val="24"/>
          <w:highlight w:val="none"/>
        </w:rPr>
      </w:pPr>
      <w:r>
        <w:rPr>
          <w:rFonts w:hint="eastAsia" w:ascii="宋体" w:hAnsi="宋体" w:eastAsia="宋体" w:cs="Times New Roman"/>
          <w:b/>
          <w:sz w:val="24"/>
          <w:szCs w:val="24"/>
          <w:highlight w:val="none"/>
        </w:rPr>
        <w:t>2、公司的愿景：共创 共享 造就完美未来。</w:t>
      </w:r>
    </w:p>
    <w:p>
      <w:pPr>
        <w:spacing w:line="360" w:lineRule="auto"/>
        <w:ind w:firstLine="472" w:firstLineChars="196"/>
        <w:rPr>
          <w:rFonts w:ascii="宋体" w:hAnsi="宋体" w:eastAsia="宋体" w:cs="Times New Roman"/>
          <w:b/>
          <w:sz w:val="24"/>
          <w:szCs w:val="24"/>
          <w:highlight w:val="none"/>
        </w:rPr>
      </w:pPr>
      <w:r>
        <w:rPr>
          <w:rFonts w:hint="eastAsia" w:ascii="宋体" w:hAnsi="宋体" w:eastAsia="宋体" w:cs="Times New Roman"/>
          <w:b/>
          <w:sz w:val="24"/>
          <w:szCs w:val="24"/>
          <w:highlight w:val="none"/>
        </w:rPr>
        <w:t>3、核心价值观：我们可以做得更好</w:t>
      </w:r>
    </w:p>
    <w:p>
      <w:pPr>
        <w:spacing w:line="360" w:lineRule="auto"/>
        <w:ind w:firstLine="472" w:firstLineChars="196"/>
        <w:rPr>
          <w:rFonts w:ascii="宋体" w:hAnsi="宋体"/>
          <w:b/>
          <w:sz w:val="24"/>
          <w:szCs w:val="24"/>
          <w:highlight w:val="none"/>
        </w:rPr>
      </w:pPr>
      <w:r>
        <w:rPr>
          <w:rFonts w:hint="eastAsia" w:ascii="宋体" w:hAnsi="宋体" w:eastAsia="宋体" w:cs="Times New Roman"/>
          <w:b/>
          <w:sz w:val="24"/>
          <w:szCs w:val="24"/>
          <w:highlight w:val="none"/>
        </w:rPr>
        <w:t>4、</w:t>
      </w:r>
      <w:r>
        <w:rPr>
          <w:rFonts w:ascii="宋体" w:hAnsi="宋体" w:eastAsia="宋体" w:cs="Times New Roman"/>
          <w:b/>
          <w:sz w:val="24"/>
          <w:szCs w:val="24"/>
          <w:highlight w:val="none"/>
        </w:rPr>
        <w:t>经营理念</w:t>
      </w:r>
      <w:r>
        <w:rPr>
          <w:rFonts w:hint="eastAsia" w:ascii="宋体" w:hAnsi="宋体" w:eastAsia="宋体" w:cs="Times New Roman"/>
          <w:b/>
          <w:sz w:val="24"/>
          <w:szCs w:val="24"/>
          <w:highlight w:val="none"/>
        </w:rPr>
        <w:t>：技术上追求高起点 质量上追求零缺陷 成本上追求零浪费 交货上追求零等待。</w:t>
      </w:r>
    </w:p>
    <w:p>
      <w:pPr>
        <w:spacing w:before="120" w:beforeLines="50" w:after="120" w:afterLines="50" w:line="360" w:lineRule="auto"/>
        <w:outlineLvl w:val="0"/>
        <w:rPr>
          <w:rFonts w:cs="Times New Roman" w:asciiTheme="majorEastAsia" w:hAnsiTheme="majorEastAsia" w:eastAsiaTheme="majorEastAsia"/>
          <w:b/>
          <w:color w:val="000000" w:themeColor="text1"/>
          <w:sz w:val="28"/>
          <w:szCs w:val="24"/>
          <w14:textFill>
            <w14:solidFill>
              <w14:schemeClr w14:val="tx1"/>
            </w14:solidFill>
          </w14:textFill>
        </w:rPr>
      </w:pPr>
      <w:r>
        <w:rPr>
          <w:rFonts w:hint="eastAsia" w:cs="Times New Roman" w:asciiTheme="majorEastAsia" w:hAnsiTheme="majorEastAsia" w:eastAsiaTheme="majorEastAsia"/>
          <w:b/>
          <w:color w:val="000000" w:themeColor="text1"/>
          <w:sz w:val="28"/>
          <w:szCs w:val="24"/>
          <w14:textFill>
            <w14:solidFill>
              <w14:schemeClr w14:val="tx1"/>
            </w14:solidFill>
          </w14:textFill>
        </w:rPr>
        <w:t>二、</w:t>
      </w:r>
      <w:r>
        <w:rPr>
          <w:rFonts w:cs="Times New Roman" w:asciiTheme="majorEastAsia" w:hAnsiTheme="majorEastAsia" w:eastAsiaTheme="majorEastAsia"/>
          <w:b/>
          <w:color w:val="000000" w:themeColor="text1"/>
          <w:sz w:val="28"/>
          <w:szCs w:val="24"/>
          <w14:textFill>
            <w14:solidFill>
              <w14:schemeClr w14:val="tx1"/>
            </w14:solidFill>
          </w14:textFill>
        </w:rPr>
        <w:t>组织架构</w:t>
      </w:r>
      <w:r>
        <w:rPr>
          <w:rFonts w:hint="eastAsia" w:cs="Times New Roman" w:asciiTheme="majorEastAsia" w:hAnsiTheme="majorEastAsia" w:eastAsiaTheme="majorEastAsia"/>
          <w:b/>
          <w:color w:val="000000" w:themeColor="text1"/>
          <w:sz w:val="28"/>
          <w:szCs w:val="24"/>
          <w14:textFill>
            <w14:solidFill>
              <w14:schemeClr w14:val="tx1"/>
            </w14:solidFill>
          </w14:textFill>
        </w:rPr>
        <w:t>及</w:t>
      </w:r>
      <w:r>
        <w:rPr>
          <w:rFonts w:cs="Times New Roman" w:asciiTheme="majorEastAsia" w:hAnsiTheme="majorEastAsia" w:eastAsiaTheme="majorEastAsia"/>
          <w:b/>
          <w:color w:val="000000" w:themeColor="text1"/>
          <w:sz w:val="28"/>
          <w:szCs w:val="24"/>
          <w14:textFill>
            <w14:solidFill>
              <w14:schemeClr w14:val="tx1"/>
            </w14:solidFill>
          </w14:textFill>
        </w:rPr>
        <w:t>主要产品</w:t>
      </w:r>
    </w:p>
    <w:p>
      <w:pPr>
        <w:spacing w:before="120" w:beforeLines="50" w:after="120" w:afterLines="50" w:line="360" w:lineRule="auto"/>
        <w:outlineLvl w:val="0"/>
        <w:rPr>
          <w:rFonts w:cs="Times New Roman" w:asciiTheme="majorEastAsia" w:hAnsiTheme="majorEastAsia" w:eastAsiaTheme="majorEastAsia"/>
          <w:b/>
          <w:color w:val="000000" w:themeColor="text1"/>
          <w:sz w:val="24"/>
          <w:szCs w:val="24"/>
          <w14:textFill>
            <w14:solidFill>
              <w14:schemeClr w14:val="tx1"/>
            </w14:solidFill>
          </w14:textFill>
        </w:rPr>
      </w:pPr>
      <w:r>
        <w:rPr>
          <w:rFonts w:cs="Times New Roman" w:asciiTheme="majorEastAsia" w:hAnsiTheme="majorEastAsia" w:eastAsiaTheme="majorEastAsia"/>
          <w:b/>
          <w:color w:val="000000" w:themeColor="text1"/>
          <w:sz w:val="24"/>
          <w:szCs w:val="24"/>
          <w14:textFill>
            <w14:solidFill>
              <w14:schemeClr w14:val="tx1"/>
            </w14:solidFill>
          </w14:textFill>
        </w:rPr>
        <w:t>1</w:t>
      </w:r>
      <w:r>
        <w:rPr>
          <w:rFonts w:hint="eastAsia" w:cs="Times New Roman" w:asciiTheme="majorEastAsia" w:hAnsiTheme="majorEastAsia" w:eastAsiaTheme="majorEastAsia"/>
          <w:b/>
          <w:color w:val="000000" w:themeColor="text1"/>
          <w:sz w:val="24"/>
          <w:szCs w:val="24"/>
          <w14:textFill>
            <w14:solidFill>
              <w14:schemeClr w14:val="tx1"/>
            </w14:solidFill>
          </w14:textFill>
        </w:rPr>
        <w:t>、组织</w:t>
      </w:r>
      <w:r>
        <w:rPr>
          <w:rFonts w:cs="Times New Roman" w:asciiTheme="majorEastAsia" w:hAnsiTheme="majorEastAsia" w:eastAsiaTheme="majorEastAsia"/>
          <w:b/>
          <w:color w:val="000000" w:themeColor="text1"/>
          <w:sz w:val="24"/>
          <w:szCs w:val="24"/>
          <w14:textFill>
            <w14:solidFill>
              <w14:schemeClr w14:val="tx1"/>
            </w14:solidFill>
          </w14:textFill>
        </w:rPr>
        <w:t>架构图</w:t>
      </w:r>
    </w:p>
    <w:p>
      <w:pPr>
        <w:spacing w:before="120" w:beforeLines="50" w:after="120" w:afterLines="50" w:line="360" w:lineRule="auto"/>
        <w:outlineLvl w:val="0"/>
        <w:rPr>
          <w:rFonts w:hint="eastAsia" w:cs="Times New Roman" w:asciiTheme="majorEastAsia" w:hAnsiTheme="majorEastAsia" w:eastAsiaTheme="majorEastAsia"/>
          <w:b/>
          <w:color w:val="000000" w:themeColor="text1"/>
          <w:sz w:val="24"/>
          <w:szCs w:val="24"/>
          <w:lang w:eastAsia="zh-CN"/>
          <w14:textFill>
            <w14:solidFill>
              <w14:schemeClr w14:val="tx1"/>
            </w14:solidFill>
          </w14:textFill>
        </w:rPr>
      </w:pPr>
      <w:r>
        <w:rPr>
          <w:rFonts w:hint="eastAsia" w:cs="Times New Roman" w:asciiTheme="majorEastAsia" w:hAnsiTheme="majorEastAsia" w:eastAsiaTheme="majorEastAsia"/>
          <w:b/>
          <w:color w:val="000000" w:themeColor="text1"/>
          <w:sz w:val="24"/>
          <w:szCs w:val="24"/>
          <w:lang w:eastAsia="zh-CN"/>
          <w14:textFill>
            <w14:solidFill>
              <w14:schemeClr w14:val="tx1"/>
            </w14:solidFill>
          </w14:textFill>
        </w:rPr>
        <w:drawing>
          <wp:inline distT="0" distB="0" distL="114300" distR="114300">
            <wp:extent cx="5541010" cy="3667760"/>
            <wp:effectExtent l="0" t="0" r="2540" b="8890"/>
            <wp:docPr id="2" name="图片 2" descr="C:\Users\Administrator\Desktop\e5cdcfef88a6200772241aeb0ab1c7d.pnge5cdcfef88a6200772241aeb0ab1c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e5cdcfef88a6200772241aeb0ab1c7d.pnge5cdcfef88a6200772241aeb0ab1c7d"/>
                    <pic:cNvPicPr>
                      <a:picLocks noChangeAspect="1"/>
                    </pic:cNvPicPr>
                  </pic:nvPicPr>
                  <pic:blipFill>
                    <a:blip r:embed="rId4"/>
                    <a:srcRect/>
                    <a:stretch>
                      <a:fillRect/>
                    </a:stretch>
                  </pic:blipFill>
                  <pic:spPr>
                    <a:xfrm>
                      <a:off x="0" y="0"/>
                      <a:ext cx="5541010" cy="3667760"/>
                    </a:xfrm>
                    <a:prstGeom prst="rect">
                      <a:avLst/>
                    </a:prstGeom>
                  </pic:spPr>
                </pic:pic>
              </a:graphicData>
            </a:graphic>
          </wp:inline>
        </w:drawing>
      </w:r>
    </w:p>
    <w:p>
      <w:pPr>
        <w:spacing w:before="120" w:beforeLines="50" w:after="120" w:afterLines="50" w:line="360" w:lineRule="auto"/>
        <w:outlineLvl w:val="0"/>
        <w:rPr>
          <w:rFonts w:cs="Times New Roman" w:asciiTheme="majorEastAsia" w:hAnsiTheme="majorEastAsia" w:eastAsiaTheme="majorEastAsia"/>
          <w:b/>
          <w:color w:val="000000" w:themeColor="text1"/>
          <w:sz w:val="24"/>
          <w:szCs w:val="24"/>
          <w14:textFill>
            <w14:solidFill>
              <w14:schemeClr w14:val="tx1"/>
            </w14:solidFill>
          </w14:textFill>
        </w:rPr>
      </w:pPr>
      <w:r>
        <w:rPr>
          <w:rFonts w:hint="eastAsia" w:cs="Times New Roman" w:asciiTheme="majorEastAsia" w:hAnsiTheme="majorEastAsia" w:eastAsiaTheme="majorEastAsia"/>
          <w:b/>
          <w:color w:val="000000" w:themeColor="text1"/>
          <w:sz w:val="24"/>
          <w:szCs w:val="24"/>
          <w14:textFill>
            <w14:solidFill>
              <w14:schemeClr w14:val="tx1"/>
            </w14:solidFill>
          </w14:textFill>
        </w:rPr>
        <w:t>2、</w:t>
      </w:r>
      <w:r>
        <w:rPr>
          <w:rFonts w:cs="Times New Roman" w:asciiTheme="majorEastAsia" w:hAnsiTheme="majorEastAsia" w:eastAsiaTheme="majorEastAsia"/>
          <w:b/>
          <w:color w:val="000000" w:themeColor="text1"/>
          <w:sz w:val="24"/>
          <w:szCs w:val="24"/>
          <w14:textFill>
            <w14:solidFill>
              <w14:schemeClr w14:val="tx1"/>
            </w14:solidFill>
          </w14:textFill>
        </w:rPr>
        <w:t>主要产品</w:t>
      </w:r>
    </w:p>
    <w:p>
      <w:pPr>
        <w:spacing w:line="360" w:lineRule="auto"/>
        <w:ind w:firstLine="468" w:firstLineChars="195"/>
        <w:rPr>
          <w:rFonts w:ascii="宋体" w:hAnsi="宋体"/>
          <w:sz w:val="24"/>
          <w:highlight w:val="none"/>
        </w:rPr>
      </w:pPr>
      <w:r>
        <w:rPr>
          <w:rFonts w:ascii="宋体" w:hAnsi="宋体"/>
          <w:sz w:val="24"/>
        </w:rPr>
        <w:t>按产品的类型进行细分</w:t>
      </w:r>
      <w:r>
        <w:rPr>
          <w:rFonts w:hint="eastAsia" w:ascii="宋体" w:hAnsi="宋体"/>
          <w:sz w:val="24"/>
        </w:rPr>
        <w:t>，</w:t>
      </w:r>
      <w:r>
        <w:rPr>
          <w:rFonts w:ascii="宋体" w:hAnsi="宋体"/>
          <w:sz w:val="24"/>
        </w:rPr>
        <w:t>公司的产品可以</w:t>
      </w:r>
      <w:r>
        <w:rPr>
          <w:rFonts w:ascii="宋体" w:hAnsi="宋体"/>
          <w:sz w:val="24"/>
          <w:highlight w:val="none"/>
        </w:rPr>
        <w:t>分为</w:t>
      </w:r>
      <w:r>
        <w:rPr>
          <w:rFonts w:hint="eastAsia" w:ascii="宋体" w:hAnsi="宋体"/>
          <w:sz w:val="24"/>
          <w:highlight w:val="none"/>
          <w:lang w:val="en-US" w:eastAsia="zh-CN"/>
        </w:rPr>
        <w:t>大巴刹车片、摩托车刹车片、汽车刹车片、自行车刹车片、工程机械摩擦片</w:t>
      </w:r>
      <w:r>
        <w:rPr>
          <w:rFonts w:hint="eastAsia" w:ascii="宋体" w:hAnsi="宋体"/>
          <w:sz w:val="24"/>
          <w:highlight w:val="none"/>
        </w:rPr>
        <w:t>。</w:t>
      </w:r>
    </w:p>
    <w:p>
      <w:pPr>
        <w:pStyle w:val="84"/>
        <w:spacing w:before="120"/>
        <w:rPr>
          <w:sz w:val="24"/>
        </w:rPr>
      </w:pPr>
      <w:r>
        <w:rPr>
          <w:rFonts w:hint="eastAsia"/>
          <w:sz w:val="24"/>
        </w:rPr>
        <w:t>图表</w:t>
      </w:r>
      <w:r>
        <w:rPr>
          <w:rFonts w:hint="eastAsia"/>
          <w:bCs/>
          <w:sz w:val="24"/>
        </w:rPr>
        <w:t>4.</w:t>
      </w:r>
      <w:r>
        <w:rPr>
          <w:bCs/>
          <w:sz w:val="24"/>
        </w:rPr>
        <w:t>3</w:t>
      </w:r>
      <w:r>
        <w:rPr>
          <w:rStyle w:val="85"/>
          <w:rFonts w:hint="eastAsia"/>
          <w:b w:val="0"/>
          <w:sz w:val="24"/>
        </w:rPr>
        <w:t>.</w:t>
      </w:r>
      <w:r>
        <w:rPr>
          <w:rStyle w:val="85"/>
          <w:b w:val="0"/>
          <w:sz w:val="24"/>
        </w:rPr>
        <w:t>2</w:t>
      </w:r>
      <w:r>
        <w:rPr>
          <w:rStyle w:val="85"/>
          <w:rFonts w:hint="eastAsia"/>
          <w:b w:val="0"/>
          <w:sz w:val="24"/>
        </w:rPr>
        <w:t>-</w:t>
      </w:r>
      <w:r>
        <w:rPr>
          <w:bCs/>
          <w:sz w:val="24"/>
        </w:rPr>
        <w:t>1</w:t>
      </w:r>
      <w:r>
        <w:rPr>
          <w:rFonts w:hint="eastAsia"/>
          <w:sz w:val="24"/>
        </w:rPr>
        <w:t>公司主要产品</w:t>
      </w:r>
    </w:p>
    <w:tbl>
      <w:tblPr>
        <w:tblStyle w:val="37"/>
        <w:tblW w:w="9199"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8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16" w:type="dxa"/>
            <w:shd w:val="clear" w:color="auto" w:fill="auto"/>
            <w:vAlign w:val="center"/>
          </w:tcPr>
          <w:p>
            <w:pPr>
              <w:spacing w:before="156" w:after="156" w:line="276" w:lineRule="auto"/>
              <w:jc w:val="center"/>
              <w:rPr>
                <w:rFonts w:ascii="宋体" w:hAnsi="宋体"/>
                <w:b/>
                <w:sz w:val="24"/>
                <w:szCs w:val="24"/>
              </w:rPr>
            </w:pPr>
            <w:r>
              <w:rPr>
                <w:rFonts w:hint="eastAsia" w:ascii="宋体" w:hAnsi="宋体"/>
                <w:b/>
                <w:sz w:val="24"/>
                <w:szCs w:val="24"/>
              </w:rPr>
              <w:t>大巴刹车片</w:t>
            </w:r>
          </w:p>
        </w:tc>
        <w:tc>
          <w:tcPr>
            <w:tcW w:w="8383" w:type="dxa"/>
            <w:shd w:val="clear" w:color="auto" w:fill="auto"/>
          </w:tcPr>
          <w:p>
            <w:pPr>
              <w:spacing w:before="156" w:after="156" w:line="276" w:lineRule="auto"/>
              <w:rPr>
                <w:rFonts w:ascii="宋体" w:hAnsi="宋体"/>
                <w:b/>
                <w:sz w:val="24"/>
                <w:szCs w:val="24"/>
              </w:rPr>
            </w:pPr>
            <w:r>
              <w:rPr>
                <w:rFonts w:ascii="宋体" w:hAnsi="宋体" w:eastAsia="宋体" w:cs="宋体"/>
                <w:sz w:val="24"/>
                <w:szCs w:val="24"/>
              </w:rPr>
              <w:drawing>
                <wp:inline distT="0" distB="0" distL="114300" distR="114300">
                  <wp:extent cx="2212975" cy="1504950"/>
                  <wp:effectExtent l="0" t="0" r="6350" b="0"/>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5"/>
                          <a:stretch>
                            <a:fillRect/>
                          </a:stretch>
                        </pic:blipFill>
                        <pic:spPr>
                          <a:xfrm>
                            <a:off x="0" y="0"/>
                            <a:ext cx="2212975" cy="150495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1960880" cy="1428750"/>
                  <wp:effectExtent l="0" t="0" r="1270" b="0"/>
                  <wp:docPr id="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6"/>
                          <pic:cNvPicPr>
                            <a:picLocks noChangeAspect="1"/>
                          </pic:cNvPicPr>
                        </pic:nvPicPr>
                        <pic:blipFill>
                          <a:blip r:embed="rId6"/>
                          <a:stretch>
                            <a:fillRect/>
                          </a:stretch>
                        </pic:blipFill>
                        <pic:spPr>
                          <a:xfrm>
                            <a:off x="0" y="0"/>
                            <a:ext cx="1960880" cy="142875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16" w:type="dxa"/>
            <w:shd w:val="clear" w:color="auto" w:fill="auto"/>
            <w:vAlign w:val="center"/>
          </w:tcPr>
          <w:p>
            <w:pPr>
              <w:spacing w:before="156" w:after="156" w:line="276" w:lineRule="auto"/>
              <w:jc w:val="center"/>
              <w:rPr>
                <w:rFonts w:ascii="宋体" w:hAnsi="宋体"/>
                <w:b/>
                <w:sz w:val="24"/>
                <w:szCs w:val="24"/>
              </w:rPr>
            </w:pPr>
            <w:r>
              <w:rPr>
                <w:rFonts w:hint="eastAsia" w:ascii="宋体" w:hAnsi="宋体"/>
                <w:b/>
                <w:sz w:val="24"/>
                <w:szCs w:val="24"/>
              </w:rPr>
              <w:t>摩托车刹车片</w:t>
            </w:r>
          </w:p>
        </w:tc>
        <w:tc>
          <w:tcPr>
            <w:tcW w:w="8383" w:type="dxa"/>
            <w:shd w:val="clear" w:color="auto" w:fill="auto"/>
          </w:tcPr>
          <w:p>
            <w:pPr>
              <w:spacing w:before="156" w:after="156" w:line="276" w:lineRule="auto"/>
              <w:rPr>
                <w:rFonts w:ascii="宋体" w:hAnsi="宋体"/>
                <w:b/>
                <w:sz w:val="24"/>
                <w:szCs w:val="24"/>
              </w:rPr>
            </w:pPr>
            <w:r>
              <w:rPr>
                <w:rFonts w:ascii="宋体" w:hAnsi="宋体" w:eastAsia="宋体" w:cs="宋体"/>
                <w:sz w:val="24"/>
                <w:szCs w:val="24"/>
              </w:rPr>
              <w:drawing>
                <wp:inline distT="0" distB="0" distL="114300" distR="114300">
                  <wp:extent cx="1847850" cy="1447800"/>
                  <wp:effectExtent l="0" t="0" r="0" b="0"/>
                  <wp:docPr id="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256"/>
                          <pic:cNvPicPr>
                            <a:picLocks noChangeAspect="1"/>
                          </pic:cNvPicPr>
                        </pic:nvPicPr>
                        <pic:blipFill>
                          <a:blip r:embed="rId7"/>
                          <a:stretch>
                            <a:fillRect/>
                          </a:stretch>
                        </pic:blipFill>
                        <pic:spPr>
                          <a:xfrm>
                            <a:off x="0" y="0"/>
                            <a:ext cx="1847850" cy="144780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16" w:type="dxa"/>
            <w:shd w:val="clear" w:color="auto" w:fill="auto"/>
            <w:vAlign w:val="center"/>
          </w:tcPr>
          <w:p>
            <w:pPr>
              <w:spacing w:before="156" w:after="156" w:line="276" w:lineRule="auto"/>
              <w:jc w:val="center"/>
              <w:rPr>
                <w:rFonts w:ascii="宋体" w:hAnsi="宋体"/>
                <w:b/>
                <w:sz w:val="24"/>
                <w:szCs w:val="24"/>
              </w:rPr>
            </w:pPr>
            <w:r>
              <w:rPr>
                <w:rFonts w:hint="eastAsia" w:ascii="宋体" w:hAnsi="宋体"/>
                <w:b/>
                <w:sz w:val="24"/>
                <w:szCs w:val="24"/>
              </w:rPr>
              <w:t>汽车刹车片</w:t>
            </w:r>
          </w:p>
        </w:tc>
        <w:tc>
          <w:tcPr>
            <w:tcW w:w="8383" w:type="dxa"/>
            <w:shd w:val="clear" w:color="auto" w:fill="auto"/>
          </w:tcPr>
          <w:p>
            <w:pPr>
              <w:spacing w:before="156" w:after="156" w:line="276" w:lineRule="auto"/>
              <w:rPr>
                <w:rFonts w:ascii="宋体" w:hAnsi="宋体"/>
                <w:b/>
                <w:sz w:val="24"/>
                <w:szCs w:val="24"/>
              </w:rPr>
            </w:pPr>
            <w:r>
              <w:rPr>
                <w:rFonts w:ascii="宋体" w:hAnsi="宋体" w:eastAsia="宋体" w:cs="宋体"/>
                <w:sz w:val="24"/>
                <w:szCs w:val="24"/>
              </w:rPr>
              <w:drawing>
                <wp:inline distT="0" distB="0" distL="114300" distR="114300">
                  <wp:extent cx="2338705" cy="1605915"/>
                  <wp:effectExtent l="0" t="0" r="4445" b="3810"/>
                  <wp:docPr id="6"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IMG_256"/>
                          <pic:cNvPicPr>
                            <a:picLocks noChangeAspect="1"/>
                          </pic:cNvPicPr>
                        </pic:nvPicPr>
                        <pic:blipFill>
                          <a:blip r:embed="rId8"/>
                          <a:stretch>
                            <a:fillRect/>
                          </a:stretch>
                        </pic:blipFill>
                        <pic:spPr>
                          <a:xfrm>
                            <a:off x="0" y="0"/>
                            <a:ext cx="2338705" cy="1605915"/>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2369185" cy="1619885"/>
                  <wp:effectExtent l="0" t="0" r="2540" b="8890"/>
                  <wp:docPr id="7"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IMG_256"/>
                          <pic:cNvPicPr>
                            <a:picLocks noChangeAspect="1"/>
                          </pic:cNvPicPr>
                        </pic:nvPicPr>
                        <pic:blipFill>
                          <a:blip r:embed="rId9"/>
                          <a:stretch>
                            <a:fillRect/>
                          </a:stretch>
                        </pic:blipFill>
                        <pic:spPr>
                          <a:xfrm>
                            <a:off x="0" y="0"/>
                            <a:ext cx="2369185" cy="161988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16" w:type="dxa"/>
            <w:shd w:val="clear" w:color="auto" w:fill="auto"/>
            <w:vAlign w:val="center"/>
          </w:tcPr>
          <w:p>
            <w:pPr>
              <w:spacing w:before="156" w:after="156" w:line="276" w:lineRule="auto"/>
              <w:jc w:val="center"/>
              <w:rPr>
                <w:rFonts w:ascii="宋体" w:hAnsi="宋体"/>
                <w:b/>
                <w:sz w:val="24"/>
                <w:szCs w:val="24"/>
              </w:rPr>
            </w:pPr>
            <w:r>
              <w:rPr>
                <w:rFonts w:hint="eastAsia" w:ascii="宋体" w:hAnsi="宋体"/>
                <w:b/>
                <w:sz w:val="24"/>
                <w:szCs w:val="24"/>
              </w:rPr>
              <w:t>自行车刹车片</w:t>
            </w:r>
          </w:p>
        </w:tc>
        <w:tc>
          <w:tcPr>
            <w:tcW w:w="8383" w:type="dxa"/>
            <w:shd w:val="clear" w:color="auto" w:fill="auto"/>
          </w:tcPr>
          <w:p>
            <w:pPr>
              <w:spacing w:before="156" w:after="156" w:line="276" w:lineRule="auto"/>
              <w:rPr>
                <w:rFonts w:ascii="宋体" w:hAnsi="宋体"/>
                <w:b/>
                <w:sz w:val="24"/>
                <w:szCs w:val="24"/>
              </w:rPr>
            </w:pPr>
            <w:r>
              <w:rPr>
                <w:rFonts w:ascii="宋体" w:hAnsi="宋体" w:eastAsia="宋体" w:cs="宋体"/>
                <w:sz w:val="24"/>
                <w:szCs w:val="24"/>
              </w:rPr>
              <w:drawing>
                <wp:inline distT="0" distB="0" distL="114300" distR="114300">
                  <wp:extent cx="1400175" cy="819150"/>
                  <wp:effectExtent l="0" t="0" r="0" b="0"/>
                  <wp:docPr id="8"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IMG_256"/>
                          <pic:cNvPicPr>
                            <a:picLocks noChangeAspect="1"/>
                          </pic:cNvPicPr>
                        </pic:nvPicPr>
                        <pic:blipFill>
                          <a:blip r:embed="rId10"/>
                          <a:stretch>
                            <a:fillRect/>
                          </a:stretch>
                        </pic:blipFill>
                        <pic:spPr>
                          <a:xfrm>
                            <a:off x="0" y="0"/>
                            <a:ext cx="1400175" cy="81915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16" w:type="dxa"/>
            <w:shd w:val="clear" w:color="auto" w:fill="auto"/>
            <w:vAlign w:val="center"/>
          </w:tcPr>
          <w:p>
            <w:pPr>
              <w:spacing w:before="156" w:after="156" w:line="276" w:lineRule="auto"/>
              <w:jc w:val="center"/>
              <w:rPr>
                <w:rFonts w:hint="eastAsia" w:ascii="宋体" w:hAnsi="宋体"/>
                <w:b/>
                <w:sz w:val="24"/>
                <w:szCs w:val="24"/>
              </w:rPr>
            </w:pPr>
            <w:r>
              <w:rPr>
                <w:rFonts w:hint="eastAsia" w:ascii="宋体" w:hAnsi="宋体"/>
                <w:b/>
                <w:sz w:val="24"/>
                <w:szCs w:val="24"/>
              </w:rPr>
              <w:t>工程机械摩擦片</w:t>
            </w:r>
          </w:p>
        </w:tc>
        <w:tc>
          <w:tcPr>
            <w:tcW w:w="8383" w:type="dxa"/>
            <w:shd w:val="clear" w:color="auto" w:fill="auto"/>
          </w:tcPr>
          <w:p>
            <w:pPr>
              <w:spacing w:before="156" w:after="156" w:line="276" w:lineRule="auto"/>
              <w:rPr>
                <w:rFonts w:ascii="宋体" w:hAnsi="宋体"/>
                <w:b/>
                <w:sz w:val="24"/>
                <w:szCs w:val="24"/>
              </w:rPr>
            </w:pPr>
            <w:r>
              <w:rPr>
                <w:rFonts w:ascii="宋体" w:hAnsi="宋体" w:eastAsia="宋体" w:cs="宋体"/>
                <w:sz w:val="24"/>
                <w:szCs w:val="24"/>
              </w:rPr>
              <w:drawing>
                <wp:inline distT="0" distB="0" distL="114300" distR="114300">
                  <wp:extent cx="1895475" cy="971550"/>
                  <wp:effectExtent l="0" t="0" r="0" b="0"/>
                  <wp:docPr id="9"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IMG_256"/>
                          <pic:cNvPicPr>
                            <a:picLocks noChangeAspect="1"/>
                          </pic:cNvPicPr>
                        </pic:nvPicPr>
                        <pic:blipFill>
                          <a:blip r:embed="rId11"/>
                          <a:stretch>
                            <a:fillRect/>
                          </a:stretch>
                        </pic:blipFill>
                        <pic:spPr>
                          <a:xfrm>
                            <a:off x="0" y="0"/>
                            <a:ext cx="1895475" cy="97155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1752600" cy="1362075"/>
                  <wp:effectExtent l="0" t="0" r="0" b="0"/>
                  <wp:docPr id="10"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IMG_256"/>
                          <pic:cNvPicPr>
                            <a:picLocks noChangeAspect="1"/>
                          </pic:cNvPicPr>
                        </pic:nvPicPr>
                        <pic:blipFill>
                          <a:blip r:embed="rId12"/>
                          <a:stretch>
                            <a:fillRect/>
                          </a:stretch>
                        </pic:blipFill>
                        <pic:spPr>
                          <a:xfrm>
                            <a:off x="0" y="0"/>
                            <a:ext cx="1752600" cy="1362075"/>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1520190" cy="1188720"/>
                  <wp:effectExtent l="0" t="0" r="3810" b="1905"/>
                  <wp:docPr id="11"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IMG_256"/>
                          <pic:cNvPicPr>
                            <a:picLocks noChangeAspect="1"/>
                          </pic:cNvPicPr>
                        </pic:nvPicPr>
                        <pic:blipFill>
                          <a:blip r:embed="rId13"/>
                          <a:stretch>
                            <a:fillRect/>
                          </a:stretch>
                        </pic:blipFill>
                        <pic:spPr>
                          <a:xfrm>
                            <a:off x="0" y="0"/>
                            <a:ext cx="1520190" cy="1188720"/>
                          </a:xfrm>
                          <a:prstGeom prst="rect">
                            <a:avLst/>
                          </a:prstGeom>
                          <a:noFill/>
                          <a:ln w="9525">
                            <a:noFill/>
                          </a:ln>
                        </pic:spPr>
                      </pic:pic>
                    </a:graphicData>
                  </a:graphic>
                </wp:inline>
              </w:drawing>
            </w:r>
          </w:p>
        </w:tc>
      </w:tr>
      <w:bookmarkEnd w:id="0"/>
      <w:bookmarkEnd w:id="1"/>
    </w:tbl>
    <w:p>
      <w:pPr>
        <w:spacing w:before="120" w:beforeLines="50" w:after="120" w:afterLines="50" w:line="276" w:lineRule="auto"/>
        <w:rPr>
          <w:rFonts w:ascii="宋体" w:hAnsi="宋体"/>
          <w:b/>
          <w:sz w:val="24"/>
          <w:szCs w:val="24"/>
        </w:rPr>
      </w:pPr>
    </w:p>
    <w:p>
      <w:pPr>
        <w:spacing w:before="120" w:beforeLines="50" w:after="120" w:afterLines="50" w:line="276" w:lineRule="auto"/>
        <w:rPr>
          <w:rFonts w:ascii="宋体" w:hAnsi="宋体"/>
          <w:b/>
          <w:sz w:val="24"/>
          <w:szCs w:val="24"/>
        </w:rPr>
      </w:pPr>
    </w:p>
    <w:p>
      <w:pPr>
        <w:spacing w:before="120" w:beforeLines="50" w:after="120" w:afterLines="50" w:line="276" w:lineRule="auto"/>
        <w:rPr>
          <w:rFonts w:ascii="宋体" w:hAnsi="宋体"/>
          <w:b/>
          <w:sz w:val="24"/>
          <w:szCs w:val="24"/>
        </w:rPr>
      </w:pPr>
      <w:r>
        <w:rPr>
          <w:rFonts w:hint="eastAsia" w:ascii="宋体" w:hAnsi="宋体"/>
          <w:b/>
          <w:sz w:val="24"/>
          <w:szCs w:val="24"/>
        </w:rPr>
        <w:t>三、管理责任：</w:t>
      </w:r>
    </w:p>
    <w:p>
      <w:pPr>
        <w:spacing w:before="120" w:beforeLines="50" w:after="120" w:afterLines="50" w:line="276" w:lineRule="auto"/>
        <w:ind w:firstLine="426" w:firstLineChars="177"/>
        <w:rPr>
          <w:rFonts w:ascii="宋体" w:hAnsi="宋体"/>
          <w:b/>
          <w:sz w:val="24"/>
          <w:szCs w:val="24"/>
        </w:rPr>
      </w:pPr>
      <w:r>
        <w:rPr>
          <w:rFonts w:hint="eastAsia" w:ascii="宋体" w:hAnsi="宋体"/>
          <w:b/>
          <w:sz w:val="24"/>
          <w:szCs w:val="24"/>
        </w:rPr>
        <w:t>1、管理层的</w:t>
      </w:r>
      <w:r>
        <w:rPr>
          <w:rFonts w:ascii="宋体" w:hAnsi="宋体"/>
          <w:b/>
          <w:sz w:val="24"/>
          <w:szCs w:val="24"/>
        </w:rPr>
        <w:t>经营责任</w:t>
      </w:r>
    </w:p>
    <w:p>
      <w:pPr>
        <w:spacing w:before="120" w:beforeLines="50" w:after="120" w:afterLines="50" w:line="360" w:lineRule="auto"/>
        <w:ind w:firstLine="424" w:firstLineChars="177"/>
        <w:rPr>
          <w:rFonts w:ascii="宋体" w:hAnsi="宋体"/>
          <w:sz w:val="24"/>
        </w:rPr>
      </w:pPr>
      <w:bookmarkStart w:id="2" w:name="_Toc230143126"/>
      <w:bookmarkStart w:id="3" w:name="_Toc211149629"/>
      <w:r>
        <w:rPr>
          <w:rFonts w:hint="eastAsia" w:ascii="宋体" w:hAnsi="宋体"/>
          <w:sz w:val="24"/>
        </w:rPr>
        <w:t>公司已实行经营责任制，董事长每年给公司管理层下达经营指标，要求定期汇报公司的经营情况，包括生产、销售、资产运行、税务、利润等有关情况，每年对经营者进行一次考核。高层领导又把经营责任层层分解给下属各部门，每年对各部门进行业绩考核。</w:t>
      </w:r>
    </w:p>
    <w:p>
      <w:pPr>
        <w:spacing w:before="120" w:beforeLines="50" w:after="120" w:afterLines="50" w:line="276" w:lineRule="auto"/>
        <w:ind w:firstLine="426" w:firstLineChars="177"/>
        <w:rPr>
          <w:rFonts w:ascii="宋体" w:hAnsi="宋体"/>
          <w:b/>
          <w:sz w:val="24"/>
          <w:szCs w:val="24"/>
        </w:rPr>
      </w:pPr>
      <w:r>
        <w:rPr>
          <w:rFonts w:hint="eastAsia" w:ascii="宋体" w:hAnsi="宋体"/>
          <w:b/>
          <w:sz w:val="24"/>
          <w:szCs w:val="24"/>
        </w:rPr>
        <w:t>2、</w:t>
      </w:r>
      <w:r>
        <w:rPr>
          <w:rFonts w:ascii="宋体" w:hAnsi="宋体"/>
          <w:b/>
          <w:sz w:val="24"/>
          <w:szCs w:val="24"/>
        </w:rPr>
        <w:t>财务方面的责任</w:t>
      </w:r>
      <w:bookmarkEnd w:id="2"/>
      <w:bookmarkEnd w:id="3"/>
    </w:p>
    <w:p>
      <w:pPr>
        <w:spacing w:line="360" w:lineRule="auto"/>
        <w:ind w:firstLine="480" w:firstLineChars="200"/>
        <w:rPr>
          <w:rFonts w:ascii="宋体" w:hAnsi="宋体"/>
          <w:sz w:val="24"/>
        </w:rPr>
      </w:pPr>
      <w:bookmarkStart w:id="4" w:name="_Toc211149630"/>
      <w:bookmarkStart w:id="5" w:name="_Toc230143127"/>
      <w:r>
        <w:rPr>
          <w:rFonts w:hint="eastAsia" w:ascii="宋体" w:hAnsi="宋体"/>
          <w:sz w:val="24"/>
        </w:rPr>
        <w:t>公司依据国家会计准则以及相关法律法规要求，建立健全了包括资产管理、资金管理、技术开发费用管理、成本核算规范、财务报告管理规范等规章制度。公司按照董事会要求进行财务预算和决算，建立了全面的财务报表体系，按月编制和上报各类财务会计报表。对公司重大投资决策和经营活动进行财务分析，规避公司经营风险。</w:t>
      </w:r>
    </w:p>
    <w:p>
      <w:pPr>
        <w:spacing w:line="360" w:lineRule="auto"/>
        <w:ind w:firstLine="480" w:firstLineChars="200"/>
        <w:rPr>
          <w:rFonts w:ascii="宋体" w:hAnsi="宋体"/>
          <w:sz w:val="24"/>
        </w:rPr>
      </w:pPr>
      <w:r>
        <w:rPr>
          <w:rFonts w:hint="eastAsia" w:ascii="宋体" w:hAnsi="宋体"/>
          <w:sz w:val="24"/>
        </w:rPr>
        <w:t>根据公司相关财务管理制度，公司完善内控制度，强化内部制约制度，所有业务均须由经办人注明事由，部门负责人审核和公司领导审批，以确认其真实性和合法性，计划财务部</w:t>
      </w:r>
      <w:r>
        <w:rPr>
          <w:rFonts w:hint="eastAsia" w:ascii="宋体" w:hAnsi="宋体"/>
          <w:sz w:val="24"/>
          <w:lang w:eastAsia="zh-CN"/>
        </w:rPr>
        <w:t>严格把关</w:t>
      </w:r>
      <w:r>
        <w:rPr>
          <w:rFonts w:hint="eastAsia" w:ascii="宋体" w:hAnsi="宋体"/>
          <w:sz w:val="24"/>
        </w:rPr>
        <w:t>。公司各类费用支出严格按规定权限进行审批。对重大项目建设资金支出，按项目实施计划和工程进度，由项目执行负责人审核，分管领导签署确认意见，计划财务部门严格把关。</w:t>
      </w:r>
      <w:bookmarkStart w:id="57" w:name="_GoBack"/>
      <w:bookmarkEnd w:id="57"/>
    </w:p>
    <w:bookmarkEnd w:id="4"/>
    <w:bookmarkEnd w:id="5"/>
    <w:p>
      <w:pPr>
        <w:spacing w:before="120" w:beforeLines="50" w:after="120" w:afterLines="50" w:line="276" w:lineRule="auto"/>
        <w:ind w:firstLine="426" w:firstLineChars="177"/>
        <w:rPr>
          <w:rFonts w:ascii="宋体" w:hAnsi="宋体"/>
          <w:b/>
          <w:sz w:val="24"/>
          <w:szCs w:val="24"/>
        </w:rPr>
      </w:pPr>
      <w:r>
        <w:rPr>
          <w:rFonts w:hint="eastAsia" w:ascii="宋体" w:hAnsi="宋体"/>
          <w:b/>
          <w:sz w:val="24"/>
          <w:szCs w:val="24"/>
        </w:rPr>
        <w:t>3、运营的透明性</w:t>
      </w:r>
    </w:p>
    <w:p>
      <w:pPr>
        <w:adjustRightInd w:val="0"/>
        <w:spacing w:line="360" w:lineRule="auto"/>
        <w:ind w:firstLine="480" w:firstLineChars="200"/>
        <w:rPr>
          <w:rFonts w:ascii="宋体" w:hAnsi="宋体"/>
          <w:color w:val="000000"/>
          <w:sz w:val="24"/>
        </w:rPr>
      </w:pPr>
      <w:r>
        <w:rPr>
          <w:rFonts w:hint="eastAsia" w:ascii="宋体" w:hAnsi="宋体"/>
          <w:color w:val="000000"/>
          <w:sz w:val="24"/>
          <w:lang w:eastAsia="zh-CN"/>
        </w:rPr>
        <w:t>万赛</w:t>
      </w:r>
      <w:r>
        <w:rPr>
          <w:rFonts w:hint="eastAsia" w:ascii="宋体" w:hAnsi="宋体"/>
          <w:color w:val="000000"/>
          <w:sz w:val="24"/>
        </w:rPr>
        <w:t>注重经营信息的透明和共享，人事任免、质量问题、先进方法、员工奖励等也都定期在宣传栏中发布，广泛听取员工意见建议。</w:t>
      </w:r>
    </w:p>
    <w:p>
      <w:pPr>
        <w:spacing w:before="120" w:beforeLines="50" w:after="120" w:afterLines="50" w:line="276" w:lineRule="auto"/>
        <w:ind w:firstLine="426" w:firstLineChars="177"/>
        <w:rPr>
          <w:rFonts w:ascii="宋体" w:hAnsi="宋体"/>
          <w:b/>
          <w:sz w:val="24"/>
          <w:szCs w:val="24"/>
        </w:rPr>
      </w:pPr>
      <w:r>
        <w:rPr>
          <w:rFonts w:hint="eastAsia" w:ascii="宋体" w:hAnsi="宋体"/>
          <w:b/>
          <w:sz w:val="24"/>
          <w:szCs w:val="24"/>
        </w:rPr>
        <w:t>4、</w:t>
      </w:r>
      <w:r>
        <w:rPr>
          <w:rFonts w:ascii="宋体" w:hAnsi="宋体"/>
          <w:b/>
          <w:sz w:val="24"/>
          <w:szCs w:val="24"/>
        </w:rPr>
        <w:t>审计的独立性</w:t>
      </w:r>
    </w:p>
    <w:p>
      <w:pPr>
        <w:adjustRightInd w:val="0"/>
        <w:spacing w:line="360" w:lineRule="auto"/>
        <w:ind w:firstLine="480" w:firstLineChars="200"/>
        <w:rPr>
          <w:rFonts w:ascii="宋体" w:hAnsi="宋体"/>
          <w:color w:val="000000"/>
          <w:sz w:val="24"/>
        </w:rPr>
      </w:pPr>
      <w:r>
        <w:rPr>
          <w:rFonts w:hint="eastAsia" w:ascii="宋体" w:hAnsi="宋体"/>
          <w:color w:val="000000"/>
          <w:sz w:val="24"/>
          <w:highlight w:val="none"/>
        </w:rPr>
        <w:t>公司聘请会计师事务所进行外部审计并出具审计报告，以保证公司的会计报表符合国家的《企业会计准则》和《企业会计制度》，</w:t>
      </w:r>
      <w:r>
        <w:rPr>
          <w:rFonts w:hint="eastAsia" w:ascii="宋体" w:hAnsi="宋体"/>
          <w:color w:val="000000"/>
          <w:sz w:val="24"/>
        </w:rPr>
        <w:t>公正地反映公司的财务状况，经营成果和现金流量。事务所具备担任审计机构的任职条件，具有相关专业的履职能力，与公司没有关联利益关系，确保了外部审计的独立性。</w:t>
      </w:r>
    </w:p>
    <w:p>
      <w:pPr>
        <w:spacing w:before="120" w:beforeLines="50" w:after="120" w:afterLines="50" w:line="276" w:lineRule="auto"/>
        <w:ind w:firstLine="426" w:firstLineChars="177"/>
        <w:rPr>
          <w:rFonts w:ascii="宋体" w:hAnsi="宋体"/>
          <w:b/>
          <w:sz w:val="24"/>
          <w:szCs w:val="24"/>
        </w:rPr>
      </w:pPr>
      <w:bookmarkStart w:id="6" w:name="_Toc230143129"/>
      <w:bookmarkStart w:id="7" w:name="_Toc211149631"/>
      <w:r>
        <w:rPr>
          <w:rFonts w:hint="eastAsia" w:ascii="宋体" w:hAnsi="宋体"/>
          <w:b/>
          <w:sz w:val="24"/>
          <w:szCs w:val="24"/>
        </w:rPr>
        <w:t>5、</w:t>
      </w:r>
      <w:r>
        <w:rPr>
          <w:rFonts w:ascii="宋体" w:hAnsi="宋体"/>
          <w:b/>
          <w:sz w:val="24"/>
          <w:szCs w:val="24"/>
        </w:rPr>
        <w:t>股东及其他相关方利益的保护</w:t>
      </w:r>
      <w:bookmarkEnd w:id="6"/>
      <w:bookmarkEnd w:id="7"/>
    </w:p>
    <w:p>
      <w:pPr>
        <w:adjustRightInd w:val="0"/>
        <w:spacing w:line="360" w:lineRule="auto"/>
        <w:ind w:firstLine="420"/>
        <w:rPr>
          <w:rFonts w:ascii="宋体" w:hAnsi="宋体"/>
          <w:color w:val="000000"/>
          <w:sz w:val="24"/>
        </w:rPr>
      </w:pPr>
      <w:r>
        <w:rPr>
          <w:rFonts w:ascii="宋体" w:hAnsi="宋体"/>
          <w:sz w:val="24"/>
        </w:rPr>
        <w:t>公司一贯坚持互利共赢的经营理念，并通过各种方式实现对顾客</w:t>
      </w:r>
      <w:r>
        <w:rPr>
          <w:rFonts w:hint="eastAsia" w:ascii="宋体" w:hAnsi="宋体"/>
          <w:sz w:val="24"/>
        </w:rPr>
        <w:t>、供应商</w:t>
      </w:r>
      <w:r>
        <w:rPr>
          <w:rFonts w:ascii="宋体" w:hAnsi="宋体"/>
          <w:sz w:val="24"/>
        </w:rPr>
        <w:t>等方面利益的负责，具体见表</w:t>
      </w:r>
      <w:r>
        <w:rPr>
          <w:rFonts w:hint="eastAsia" w:ascii="宋体" w:hAnsi="宋体"/>
          <w:sz w:val="24"/>
        </w:rPr>
        <w:t>5-1</w:t>
      </w:r>
      <w:r>
        <w:rPr>
          <w:rFonts w:ascii="宋体" w:hAnsi="宋体"/>
          <w:color w:val="000000"/>
          <w:sz w:val="24"/>
        </w:rPr>
        <w:t>。</w:t>
      </w:r>
    </w:p>
    <w:p>
      <w:pPr>
        <w:adjustRightInd w:val="0"/>
        <w:spacing w:line="360" w:lineRule="auto"/>
        <w:ind w:firstLine="420"/>
        <w:rPr>
          <w:rFonts w:ascii="宋体" w:hAnsi="宋体"/>
          <w:color w:val="000000"/>
          <w:sz w:val="24"/>
        </w:rPr>
      </w:pPr>
    </w:p>
    <w:p>
      <w:pPr>
        <w:pStyle w:val="77"/>
        <w:spacing w:before="120"/>
        <w:jc w:val="center"/>
        <w:rPr>
          <w:rFonts w:ascii="宋体" w:hAnsi="宋体"/>
        </w:rPr>
      </w:pPr>
      <w:bookmarkStart w:id="8" w:name="_Ref326703132"/>
      <w:r>
        <w:rPr>
          <w:rFonts w:hint="eastAsia" w:ascii="宋体" w:hAnsi="宋体"/>
        </w:rPr>
        <w:t>表5-</w:t>
      </w:r>
      <w:bookmarkEnd w:id="8"/>
      <w:r>
        <w:rPr>
          <w:rFonts w:hint="eastAsia" w:ascii="宋体" w:hAnsi="宋体"/>
        </w:rPr>
        <w:t xml:space="preserve">1 </w:t>
      </w:r>
      <w:r>
        <w:rPr>
          <w:rFonts w:ascii="宋体" w:hAnsi="宋体"/>
        </w:rPr>
        <w:t>各相关方利益保护措施</w:t>
      </w:r>
      <w:bookmarkStart w:id="9" w:name="_Toc261952244"/>
      <w:bookmarkStart w:id="10" w:name="_Toc306719801"/>
      <w:bookmarkStart w:id="11" w:name="_Toc230435565"/>
      <w:bookmarkStart w:id="12" w:name="_Toc230435329"/>
      <w:bookmarkStart w:id="13" w:name="_Toc301282791"/>
      <w:bookmarkStart w:id="14" w:name="_Toc211149632"/>
      <w:bookmarkStart w:id="15" w:name="_Toc230143130"/>
    </w:p>
    <w:tbl>
      <w:tblPr>
        <w:tblStyle w:val="37"/>
        <w:tblW w:w="90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5420"/>
        <w:gridCol w:w="2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blHeader/>
          <w:jc w:val="center"/>
        </w:trPr>
        <w:tc>
          <w:tcPr>
            <w:tcW w:w="1620" w:type="dxa"/>
            <w:shd w:val="clear" w:color="auto" w:fill="C00000"/>
            <w:vAlign w:val="center"/>
          </w:tcPr>
          <w:p>
            <w:pPr>
              <w:spacing w:line="276" w:lineRule="auto"/>
              <w:jc w:val="center"/>
              <w:rPr>
                <w:rFonts w:ascii="宋体" w:hAnsi="宋体" w:cs="Courier New"/>
                <w:b/>
                <w:color w:val="FFFFFF"/>
                <w:szCs w:val="18"/>
              </w:rPr>
            </w:pPr>
            <w:r>
              <w:rPr>
                <w:rFonts w:hint="eastAsia" w:ascii="宋体" w:hAnsi="宋体" w:cs="Courier New"/>
                <w:b/>
                <w:color w:val="FFFFFF"/>
                <w:szCs w:val="18"/>
              </w:rPr>
              <w:t>主要相关方</w:t>
            </w:r>
          </w:p>
        </w:tc>
        <w:tc>
          <w:tcPr>
            <w:tcW w:w="5420" w:type="dxa"/>
            <w:shd w:val="clear" w:color="auto" w:fill="C00000"/>
            <w:vAlign w:val="center"/>
          </w:tcPr>
          <w:p>
            <w:pPr>
              <w:spacing w:line="276" w:lineRule="auto"/>
              <w:jc w:val="center"/>
              <w:rPr>
                <w:rFonts w:ascii="宋体" w:hAnsi="宋体" w:cs="Courier New"/>
                <w:b/>
                <w:color w:val="FFFFFF"/>
                <w:szCs w:val="18"/>
              </w:rPr>
            </w:pPr>
            <w:r>
              <w:rPr>
                <w:rFonts w:hint="eastAsia" w:ascii="宋体" w:hAnsi="宋体" w:cs="Courier New"/>
                <w:b/>
                <w:color w:val="FFFFFF"/>
                <w:szCs w:val="18"/>
              </w:rPr>
              <w:t>具体措施</w:t>
            </w:r>
          </w:p>
        </w:tc>
        <w:tc>
          <w:tcPr>
            <w:tcW w:w="2009" w:type="dxa"/>
            <w:shd w:val="clear" w:color="auto" w:fill="C00000"/>
            <w:vAlign w:val="center"/>
          </w:tcPr>
          <w:p>
            <w:pPr>
              <w:spacing w:line="276" w:lineRule="auto"/>
              <w:jc w:val="center"/>
              <w:rPr>
                <w:rFonts w:ascii="宋体" w:hAnsi="宋体" w:cs="Courier New"/>
                <w:b/>
                <w:color w:val="FFFFFF"/>
                <w:szCs w:val="18"/>
              </w:rPr>
            </w:pPr>
            <w:r>
              <w:rPr>
                <w:rFonts w:hint="eastAsia" w:ascii="宋体" w:hAnsi="宋体" w:cs="Courier New"/>
                <w:b/>
                <w:color w:val="FFFFFF"/>
                <w:szCs w:val="18"/>
              </w:rPr>
              <w:t>测量指标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0" w:type="dxa"/>
            <w:shd w:val="clear" w:color="auto" w:fill="auto"/>
            <w:vAlign w:val="center"/>
          </w:tcPr>
          <w:p>
            <w:pPr>
              <w:spacing w:line="276" w:lineRule="auto"/>
              <w:jc w:val="center"/>
              <w:rPr>
                <w:rFonts w:ascii="宋体" w:hAnsi="宋体" w:cs="Courier New"/>
                <w:color w:val="000000"/>
                <w:szCs w:val="18"/>
              </w:rPr>
            </w:pPr>
            <w:r>
              <w:rPr>
                <w:rFonts w:hint="eastAsia" w:ascii="宋体" w:hAnsi="宋体" w:cs="Courier New"/>
                <w:color w:val="000000"/>
                <w:szCs w:val="18"/>
              </w:rPr>
              <w:t>顾客</w:t>
            </w:r>
          </w:p>
        </w:tc>
        <w:tc>
          <w:tcPr>
            <w:tcW w:w="5420" w:type="dxa"/>
            <w:shd w:val="clear" w:color="auto" w:fill="auto"/>
            <w:vAlign w:val="center"/>
          </w:tcPr>
          <w:p>
            <w:pPr>
              <w:spacing w:line="276" w:lineRule="auto"/>
              <w:rPr>
                <w:rFonts w:ascii="宋体" w:hAnsi="宋体" w:cs="Courier New"/>
                <w:color w:val="000000"/>
                <w:szCs w:val="18"/>
              </w:rPr>
            </w:pPr>
            <w:r>
              <w:rPr>
                <w:rFonts w:hint="eastAsia" w:ascii="宋体" w:hAnsi="宋体" w:cs="Courier New"/>
                <w:color w:val="000000"/>
                <w:szCs w:val="18"/>
              </w:rPr>
              <w:t>1、明确顾客需要，细分和选择顾客对象。2、降低顾客成本，给客户带来各种便利及实现有效沟通。3、提高产品的价值和质量，保护顾客的利益等。4、在资源有效的情况下，优先保证重点顾客的交货期。5、加强对客户的服务职能，提高顾客满意度。</w:t>
            </w:r>
          </w:p>
        </w:tc>
        <w:tc>
          <w:tcPr>
            <w:tcW w:w="2009" w:type="dxa"/>
            <w:vAlign w:val="center"/>
          </w:tcPr>
          <w:p>
            <w:pPr>
              <w:spacing w:line="276" w:lineRule="auto"/>
              <w:rPr>
                <w:rFonts w:ascii="宋体" w:hAnsi="宋体" w:cs="Courier New"/>
                <w:color w:val="000000"/>
                <w:szCs w:val="18"/>
              </w:rPr>
            </w:pPr>
            <w:r>
              <w:rPr>
                <w:rFonts w:hint="eastAsia" w:ascii="宋体" w:hAnsi="宋体" w:cs="Courier New"/>
                <w:color w:val="000000"/>
                <w:szCs w:val="18"/>
              </w:rPr>
              <w:t>顾客满意度等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0" w:type="dxa"/>
            <w:shd w:val="clear" w:color="auto" w:fill="auto"/>
            <w:vAlign w:val="center"/>
          </w:tcPr>
          <w:p>
            <w:pPr>
              <w:spacing w:line="276" w:lineRule="auto"/>
              <w:jc w:val="center"/>
              <w:rPr>
                <w:rFonts w:ascii="宋体" w:hAnsi="宋体" w:cs="Courier New"/>
                <w:color w:val="000000"/>
                <w:szCs w:val="18"/>
              </w:rPr>
            </w:pPr>
            <w:r>
              <w:rPr>
                <w:rFonts w:hint="eastAsia" w:ascii="宋体" w:hAnsi="宋体" w:cs="Courier New"/>
                <w:color w:val="000000"/>
                <w:szCs w:val="18"/>
              </w:rPr>
              <w:t>政府及社会公众</w:t>
            </w:r>
          </w:p>
        </w:tc>
        <w:tc>
          <w:tcPr>
            <w:tcW w:w="5420" w:type="dxa"/>
            <w:shd w:val="clear" w:color="auto" w:fill="auto"/>
            <w:vAlign w:val="center"/>
          </w:tcPr>
          <w:p>
            <w:pPr>
              <w:spacing w:line="276" w:lineRule="auto"/>
              <w:rPr>
                <w:rFonts w:ascii="宋体" w:hAnsi="宋体" w:cs="Courier New"/>
                <w:color w:val="000000"/>
                <w:szCs w:val="18"/>
              </w:rPr>
            </w:pPr>
            <w:r>
              <w:rPr>
                <w:rFonts w:hint="eastAsia" w:ascii="宋体" w:hAnsi="宋体" w:cs="Courier New"/>
                <w:color w:val="000000"/>
                <w:szCs w:val="18"/>
                <w:highlight w:val="none"/>
              </w:rPr>
              <w:t>1、依法纳税，绝不逃税漏税。2、公司决不生产和销售伪劣产品，也不哄抬物价或实行垄断价格对社会公众负责。3、推行“清洁生产”、“节能减排”等。4、向金华本地慈善机构捐献爱心，慰问周边村落孤寡老人。</w:t>
            </w:r>
          </w:p>
        </w:tc>
        <w:tc>
          <w:tcPr>
            <w:tcW w:w="2009" w:type="dxa"/>
            <w:vAlign w:val="center"/>
          </w:tcPr>
          <w:p>
            <w:pPr>
              <w:spacing w:line="276" w:lineRule="auto"/>
              <w:rPr>
                <w:rFonts w:ascii="宋体" w:hAnsi="宋体" w:cs="Courier New"/>
                <w:color w:val="000000"/>
                <w:szCs w:val="18"/>
              </w:rPr>
            </w:pPr>
            <w:r>
              <w:rPr>
                <w:rFonts w:hint="eastAsia" w:ascii="宋体" w:hAnsi="宋体" w:cs="Courier New"/>
                <w:color w:val="000000"/>
                <w:szCs w:val="18"/>
              </w:rPr>
              <w:t>慈善捐款额、上缴税收额等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0" w:type="dxa"/>
            <w:shd w:val="clear" w:color="auto" w:fill="auto"/>
            <w:vAlign w:val="center"/>
          </w:tcPr>
          <w:p>
            <w:pPr>
              <w:spacing w:line="276" w:lineRule="auto"/>
              <w:jc w:val="center"/>
              <w:rPr>
                <w:rFonts w:ascii="宋体" w:hAnsi="宋体" w:cs="Courier New"/>
                <w:color w:val="000000"/>
                <w:szCs w:val="18"/>
              </w:rPr>
            </w:pPr>
            <w:r>
              <w:rPr>
                <w:rFonts w:hint="eastAsia" w:ascii="宋体" w:hAnsi="宋体" w:cs="Courier New"/>
                <w:color w:val="000000"/>
                <w:szCs w:val="18"/>
              </w:rPr>
              <w:t>供应商及代理商</w:t>
            </w:r>
          </w:p>
        </w:tc>
        <w:tc>
          <w:tcPr>
            <w:tcW w:w="5420" w:type="dxa"/>
            <w:shd w:val="clear" w:color="auto" w:fill="auto"/>
            <w:vAlign w:val="center"/>
          </w:tcPr>
          <w:p>
            <w:pPr>
              <w:spacing w:line="276" w:lineRule="auto"/>
              <w:rPr>
                <w:rFonts w:ascii="宋体" w:hAnsi="宋体" w:cs="Courier New"/>
                <w:color w:val="000000"/>
                <w:szCs w:val="18"/>
              </w:rPr>
            </w:pPr>
            <w:r>
              <w:rPr>
                <w:rFonts w:hint="eastAsia" w:ascii="宋体" w:hAnsi="宋体" w:cs="Courier New"/>
                <w:color w:val="000000"/>
                <w:szCs w:val="18"/>
              </w:rPr>
              <w:t>1、将“流程透明、集约双赢”等定为公司的采购方针，保障供方的利润空间等。2、按时建立了清晰的供应商接口、多渠道的计划和复审过程来确保供应商符合要求，使质量、成本、准时交付都得到了满足。</w:t>
            </w:r>
          </w:p>
        </w:tc>
        <w:tc>
          <w:tcPr>
            <w:tcW w:w="2009" w:type="dxa"/>
            <w:vAlign w:val="center"/>
          </w:tcPr>
          <w:p>
            <w:pPr>
              <w:spacing w:line="276" w:lineRule="auto"/>
              <w:rPr>
                <w:rFonts w:ascii="宋体" w:hAnsi="宋体" w:cs="Courier New"/>
                <w:color w:val="000000"/>
                <w:szCs w:val="18"/>
              </w:rPr>
            </w:pPr>
            <w:r>
              <w:rPr>
                <w:rFonts w:hint="eastAsia" w:ascii="宋体" w:hAnsi="宋体" w:cs="Courier New"/>
                <w:color w:val="000000"/>
                <w:szCs w:val="18"/>
              </w:rPr>
              <w:t>采购交期达成率等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0" w:type="dxa"/>
            <w:shd w:val="clear" w:color="auto" w:fill="auto"/>
            <w:vAlign w:val="center"/>
          </w:tcPr>
          <w:p>
            <w:pPr>
              <w:spacing w:line="276" w:lineRule="auto"/>
              <w:jc w:val="center"/>
              <w:rPr>
                <w:rFonts w:ascii="宋体" w:hAnsi="宋体" w:cs="Courier New"/>
                <w:color w:val="000000"/>
                <w:szCs w:val="18"/>
              </w:rPr>
            </w:pPr>
            <w:r>
              <w:rPr>
                <w:rFonts w:hint="eastAsia" w:ascii="宋体" w:hAnsi="宋体" w:cs="Courier New"/>
                <w:color w:val="000000"/>
                <w:szCs w:val="18"/>
              </w:rPr>
              <w:t>员工</w:t>
            </w:r>
          </w:p>
        </w:tc>
        <w:tc>
          <w:tcPr>
            <w:tcW w:w="5420" w:type="dxa"/>
            <w:shd w:val="clear" w:color="auto" w:fill="auto"/>
            <w:vAlign w:val="center"/>
          </w:tcPr>
          <w:p>
            <w:pPr>
              <w:spacing w:line="276" w:lineRule="auto"/>
              <w:rPr>
                <w:rFonts w:ascii="宋体" w:hAnsi="宋体" w:cs="Courier New"/>
                <w:color w:val="000000"/>
                <w:szCs w:val="18"/>
              </w:rPr>
            </w:pPr>
            <w:r>
              <w:rPr>
                <w:rFonts w:hint="eastAsia" w:ascii="宋体" w:hAnsi="宋体" w:cs="Courier New"/>
                <w:color w:val="000000"/>
                <w:szCs w:val="18"/>
              </w:rPr>
              <w:t>1、关心员工生活，使员工有归宿感。2、增加员工工资。3、改善生活环境。4、改善员工福利。5、开展各种文娱活动，改善员工生活。</w:t>
            </w:r>
          </w:p>
        </w:tc>
        <w:tc>
          <w:tcPr>
            <w:tcW w:w="2009" w:type="dxa"/>
            <w:vAlign w:val="center"/>
          </w:tcPr>
          <w:p>
            <w:pPr>
              <w:spacing w:line="276" w:lineRule="auto"/>
              <w:rPr>
                <w:rFonts w:ascii="宋体" w:hAnsi="宋体" w:cs="Courier New"/>
                <w:color w:val="000000"/>
                <w:szCs w:val="18"/>
              </w:rPr>
            </w:pPr>
            <w:r>
              <w:rPr>
                <w:rFonts w:hint="eastAsia" w:ascii="宋体" w:hAnsi="宋体" w:cs="Courier New"/>
                <w:color w:val="000000"/>
                <w:szCs w:val="18"/>
              </w:rPr>
              <w:t>员工投诉次数及投诉处理的及时性、培训次数、员工收入增长率等</w:t>
            </w:r>
          </w:p>
        </w:tc>
      </w:tr>
    </w:tbl>
    <w:p>
      <w:pPr>
        <w:spacing w:before="120" w:beforeLines="50" w:after="120" w:afterLines="50" w:line="276" w:lineRule="auto"/>
        <w:ind w:firstLine="482" w:firstLineChars="200"/>
        <w:rPr>
          <w:rFonts w:ascii="宋体" w:hAnsi="宋体"/>
          <w:b/>
          <w:sz w:val="24"/>
          <w:szCs w:val="24"/>
        </w:rPr>
      </w:pPr>
      <w:r>
        <w:rPr>
          <w:rFonts w:hint="eastAsia" w:ascii="宋体" w:hAnsi="宋体"/>
          <w:b/>
          <w:sz w:val="24"/>
          <w:szCs w:val="24"/>
        </w:rPr>
        <w:t>1）</w:t>
      </w:r>
      <w:r>
        <w:rPr>
          <w:rFonts w:ascii="宋体" w:hAnsi="宋体"/>
          <w:b/>
          <w:sz w:val="24"/>
          <w:szCs w:val="24"/>
        </w:rPr>
        <w:t>组织绩效的评审</w:t>
      </w:r>
      <w:bookmarkEnd w:id="9"/>
      <w:bookmarkEnd w:id="10"/>
      <w:bookmarkEnd w:id="11"/>
      <w:bookmarkEnd w:id="12"/>
      <w:bookmarkEnd w:id="13"/>
      <w:bookmarkEnd w:id="14"/>
      <w:bookmarkEnd w:id="15"/>
    </w:p>
    <w:p>
      <w:pPr>
        <w:adjustRightInd w:val="0"/>
        <w:spacing w:line="360" w:lineRule="auto"/>
        <w:ind w:firstLine="420"/>
        <w:rPr>
          <w:rFonts w:ascii="宋体" w:hAnsi="宋体"/>
          <w:sz w:val="24"/>
          <w:szCs w:val="24"/>
        </w:rPr>
      </w:pPr>
      <w:r>
        <w:rPr>
          <w:rFonts w:ascii="宋体" w:hAnsi="宋体"/>
          <w:sz w:val="24"/>
        </w:rPr>
        <w:t>公司高层领导依据公司的使命、愿景、核心价值观和长远发展方向及目标，结合顾客与市场的变化，确定公司战略目标和关键绩效指标体系（KPI），定期对公司的绩效进行分析与评价，根据分析结果，与相关方进行沟通，确定企业绩效改进的方向和先后次序，不断创新与优化，全面提高公司的绩效水平。</w:t>
      </w:r>
      <w:bookmarkStart w:id="16" w:name="_Toc211149633"/>
      <w:bookmarkStart w:id="17" w:name="_Toc230143131"/>
    </w:p>
    <w:bookmarkEnd w:id="16"/>
    <w:bookmarkEnd w:id="17"/>
    <w:p>
      <w:pPr>
        <w:adjustRightInd w:val="0"/>
        <w:spacing w:line="360" w:lineRule="auto"/>
        <w:ind w:firstLine="420"/>
        <w:rPr>
          <w:rFonts w:ascii="宋体" w:hAnsi="宋体"/>
          <w:sz w:val="24"/>
        </w:rPr>
      </w:pPr>
      <w:r>
        <w:rPr>
          <w:rFonts w:hint="eastAsia" w:ascii="宋体" w:hAnsi="宋体"/>
          <w:sz w:val="24"/>
        </w:rPr>
        <w:t>公司高层领导通过年度生产经营工作例会、半年度生产经营工作例会等等各类会议与调研等方式，在各职能部门收集、测量、分析、汇总公司经营的各类数据和信息基础上，获取公司整体绩效的重要数据与信息，并应用比较分析、趋势分析与因果分析等方法，定期进行分析与评审，及时掌握公司综合绩效指标，以及存在的问题与不足，展开系统的改进与创新。高层领导对公司绩效的评审主要集中在公司的发展成就、竞争绩效、长短期目标实施的进展与公司的应变能力等四个方面。</w:t>
      </w:r>
    </w:p>
    <w:p>
      <w:pPr>
        <w:adjustRightInd w:val="0"/>
        <w:spacing w:line="360" w:lineRule="auto"/>
        <w:ind w:firstLine="420"/>
        <w:rPr>
          <w:rFonts w:ascii="宋体" w:hAnsi="宋体"/>
          <w:sz w:val="24"/>
        </w:rPr>
      </w:pPr>
      <w:r>
        <w:rPr>
          <w:rFonts w:hint="eastAsia" w:ascii="宋体" w:hAnsi="宋体"/>
          <w:sz w:val="24"/>
        </w:rPr>
        <w:t>高层领导对公司发展成就的评审，主要是通过对经济指标的监控和趋势分析，来评价公司各部门的工作绩效，并与全员薪酬挂钩。对竞争绩效的评审，主要通过各财务、销售与市场份额等经济指标与行业标杆企业和主要竞争对手的对比，来衡量公司在行业中的地位、与行业标杆企业的差距，并明确绩效改进的主要方向。对长短期目标实现程度的评审，主要是通过审查各部门年度工作计划目标的完成情况，评价战略计划的进展，公司绩效与战略目标的差距。对公司应变能力的评审，主要是通过评价公司的信息获取能力、危机的预警和长短期目标实现程度以及各种应急预案的有效性。</w:t>
      </w:r>
    </w:p>
    <w:p>
      <w:pPr>
        <w:adjustRightInd w:val="0"/>
        <w:spacing w:line="360" w:lineRule="auto"/>
        <w:ind w:firstLine="480" w:firstLineChars="200"/>
        <w:rPr>
          <w:rFonts w:ascii="宋体" w:hAnsi="宋体"/>
          <w:sz w:val="24"/>
        </w:rPr>
      </w:pPr>
      <w:r>
        <w:rPr>
          <w:rFonts w:hint="eastAsia" w:ascii="宋体" w:hAnsi="宋体"/>
          <w:sz w:val="24"/>
        </w:rPr>
        <w:t>高层领导以综合绩效的目标管理模式构建并确定公司的关键绩效指标体系（KPI），由相关部门定期收集数据，对指标进行考核评审，及时反馈，注重持续改进。在评审过程中，高层领导通过对生产、销售、财务、管理等指标所反映出的实际情况进行对比分析，评价公司当前的发展状况，并就出现的变化进行讨论，从而及时、有效地提出应对措施，从而确保公司持续、稳定地发展。</w:t>
      </w:r>
    </w:p>
    <w:p>
      <w:pPr>
        <w:pStyle w:val="77"/>
        <w:spacing w:before="120"/>
        <w:rPr>
          <w:rFonts w:ascii="宋体" w:hAnsi="宋体"/>
        </w:rPr>
      </w:pPr>
      <w:r>
        <w:rPr>
          <w:rFonts w:hint="eastAsia" w:ascii="宋体" w:hAnsi="宋体"/>
        </w:rPr>
        <w:t>表5-2 公司绩效评审</w:t>
      </w:r>
    </w:p>
    <w:p>
      <w:pPr>
        <w:pStyle w:val="77"/>
        <w:spacing w:before="120"/>
        <w:rPr>
          <w:rFonts w:ascii="宋体" w:hAnsi="宋体"/>
        </w:rPr>
      </w:pPr>
    </w:p>
    <w:tbl>
      <w:tblPr>
        <w:tblStyle w:val="37"/>
        <w:tblW w:w="90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6"/>
        <w:gridCol w:w="3202"/>
        <w:gridCol w:w="1841"/>
        <w:gridCol w:w="1395"/>
        <w:gridCol w:w="1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1436" w:type="dxa"/>
            <w:shd w:val="clear" w:color="auto" w:fill="C00000"/>
            <w:vAlign w:val="center"/>
          </w:tcPr>
          <w:p>
            <w:pPr>
              <w:spacing w:line="276" w:lineRule="auto"/>
              <w:jc w:val="center"/>
              <w:rPr>
                <w:rFonts w:ascii="宋体" w:hAnsi="宋体"/>
                <w:b/>
                <w:szCs w:val="18"/>
              </w:rPr>
            </w:pPr>
            <w:r>
              <w:rPr>
                <w:rFonts w:hint="eastAsia" w:ascii="宋体" w:hAnsi="宋体"/>
                <w:b/>
                <w:szCs w:val="18"/>
              </w:rPr>
              <w:t>类别</w:t>
            </w:r>
          </w:p>
        </w:tc>
        <w:tc>
          <w:tcPr>
            <w:tcW w:w="3202" w:type="dxa"/>
            <w:shd w:val="clear" w:color="auto" w:fill="C00000"/>
            <w:vAlign w:val="center"/>
          </w:tcPr>
          <w:p>
            <w:pPr>
              <w:spacing w:line="276" w:lineRule="auto"/>
              <w:jc w:val="center"/>
              <w:rPr>
                <w:rFonts w:ascii="宋体" w:hAnsi="宋体"/>
                <w:b/>
                <w:szCs w:val="18"/>
              </w:rPr>
            </w:pPr>
            <w:r>
              <w:rPr>
                <w:rFonts w:hint="eastAsia" w:ascii="宋体" w:hAnsi="宋体"/>
                <w:b/>
                <w:szCs w:val="18"/>
              </w:rPr>
              <w:t>评审内容</w:t>
            </w:r>
          </w:p>
        </w:tc>
        <w:tc>
          <w:tcPr>
            <w:tcW w:w="1841" w:type="dxa"/>
            <w:shd w:val="clear" w:color="auto" w:fill="C00000"/>
            <w:vAlign w:val="center"/>
          </w:tcPr>
          <w:p>
            <w:pPr>
              <w:spacing w:line="276" w:lineRule="auto"/>
              <w:jc w:val="center"/>
              <w:rPr>
                <w:rFonts w:ascii="宋体" w:hAnsi="宋体"/>
                <w:b/>
                <w:szCs w:val="18"/>
              </w:rPr>
            </w:pPr>
            <w:r>
              <w:rPr>
                <w:rFonts w:hint="eastAsia" w:ascii="宋体" w:hAnsi="宋体"/>
                <w:b/>
                <w:szCs w:val="18"/>
              </w:rPr>
              <w:t>评审方法</w:t>
            </w:r>
          </w:p>
        </w:tc>
        <w:tc>
          <w:tcPr>
            <w:tcW w:w="1395" w:type="dxa"/>
            <w:shd w:val="clear" w:color="auto" w:fill="C00000"/>
            <w:vAlign w:val="center"/>
          </w:tcPr>
          <w:p>
            <w:pPr>
              <w:spacing w:line="276" w:lineRule="auto"/>
              <w:jc w:val="center"/>
              <w:rPr>
                <w:rFonts w:ascii="宋体" w:hAnsi="宋体"/>
                <w:b/>
                <w:szCs w:val="18"/>
              </w:rPr>
            </w:pPr>
            <w:r>
              <w:rPr>
                <w:rFonts w:hint="eastAsia" w:ascii="宋体" w:hAnsi="宋体"/>
                <w:b/>
                <w:szCs w:val="18"/>
              </w:rPr>
              <w:t>周期</w:t>
            </w:r>
          </w:p>
        </w:tc>
        <w:tc>
          <w:tcPr>
            <w:tcW w:w="1175" w:type="dxa"/>
            <w:shd w:val="clear" w:color="auto" w:fill="C00000"/>
            <w:vAlign w:val="center"/>
          </w:tcPr>
          <w:p>
            <w:pPr>
              <w:spacing w:line="276" w:lineRule="auto"/>
              <w:jc w:val="center"/>
              <w:rPr>
                <w:rFonts w:ascii="宋体" w:hAnsi="宋体"/>
                <w:b/>
                <w:szCs w:val="18"/>
              </w:rPr>
            </w:pPr>
            <w:r>
              <w:rPr>
                <w:rFonts w:hint="eastAsia" w:ascii="宋体" w:hAnsi="宋体"/>
                <w:b/>
                <w:szCs w:val="18"/>
              </w:rPr>
              <w:t>结果处理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36" w:type="dxa"/>
            <w:vAlign w:val="center"/>
          </w:tcPr>
          <w:p>
            <w:pPr>
              <w:spacing w:line="276" w:lineRule="auto"/>
              <w:jc w:val="center"/>
              <w:rPr>
                <w:rFonts w:ascii="宋体" w:hAnsi="宋体"/>
                <w:szCs w:val="18"/>
              </w:rPr>
            </w:pPr>
            <w:r>
              <w:rPr>
                <w:rFonts w:hint="eastAsia" w:ascii="宋体" w:hAnsi="宋体"/>
                <w:szCs w:val="18"/>
              </w:rPr>
              <w:t>战略进展</w:t>
            </w:r>
          </w:p>
        </w:tc>
        <w:tc>
          <w:tcPr>
            <w:tcW w:w="3202" w:type="dxa"/>
            <w:vAlign w:val="center"/>
          </w:tcPr>
          <w:p>
            <w:pPr>
              <w:spacing w:line="276" w:lineRule="auto"/>
              <w:jc w:val="center"/>
              <w:rPr>
                <w:rFonts w:ascii="宋体" w:hAnsi="宋体"/>
                <w:szCs w:val="18"/>
              </w:rPr>
            </w:pPr>
            <w:r>
              <w:rPr>
                <w:rFonts w:hint="eastAsia" w:ascii="宋体" w:hAnsi="宋体"/>
                <w:szCs w:val="18"/>
              </w:rPr>
              <w:t>年度战略计划实施结果</w:t>
            </w:r>
          </w:p>
        </w:tc>
        <w:tc>
          <w:tcPr>
            <w:tcW w:w="1841" w:type="dxa"/>
            <w:vAlign w:val="center"/>
          </w:tcPr>
          <w:p>
            <w:pPr>
              <w:spacing w:line="276" w:lineRule="auto"/>
              <w:jc w:val="center"/>
              <w:rPr>
                <w:rFonts w:ascii="宋体" w:hAnsi="宋体"/>
                <w:szCs w:val="18"/>
              </w:rPr>
            </w:pPr>
            <w:r>
              <w:rPr>
                <w:rFonts w:hint="eastAsia" w:ascii="宋体" w:hAnsi="宋体"/>
                <w:szCs w:val="18"/>
              </w:rPr>
              <w:t>年度工作总结会</w:t>
            </w:r>
          </w:p>
        </w:tc>
        <w:tc>
          <w:tcPr>
            <w:tcW w:w="1395" w:type="dxa"/>
            <w:vAlign w:val="center"/>
          </w:tcPr>
          <w:p>
            <w:pPr>
              <w:spacing w:line="276" w:lineRule="auto"/>
              <w:jc w:val="center"/>
              <w:rPr>
                <w:rFonts w:ascii="宋体" w:hAnsi="宋体"/>
                <w:szCs w:val="18"/>
              </w:rPr>
            </w:pPr>
            <w:r>
              <w:rPr>
                <w:rFonts w:hint="eastAsia" w:ascii="宋体" w:hAnsi="宋体"/>
                <w:szCs w:val="18"/>
              </w:rPr>
              <w:t>每年1次</w:t>
            </w:r>
          </w:p>
        </w:tc>
        <w:tc>
          <w:tcPr>
            <w:tcW w:w="1175" w:type="dxa"/>
            <w:vAlign w:val="center"/>
          </w:tcPr>
          <w:p>
            <w:pPr>
              <w:spacing w:line="276" w:lineRule="auto"/>
              <w:jc w:val="center"/>
              <w:rPr>
                <w:rFonts w:ascii="宋体" w:hAnsi="宋体"/>
                <w:szCs w:val="18"/>
              </w:rPr>
            </w:pPr>
            <w:r>
              <w:rPr>
                <w:rFonts w:hint="eastAsia" w:ascii="宋体" w:hAnsi="宋体"/>
                <w:szCs w:val="18"/>
              </w:rPr>
              <w:t>会议决议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36" w:type="dxa"/>
            <w:vAlign w:val="center"/>
          </w:tcPr>
          <w:p>
            <w:pPr>
              <w:spacing w:line="276" w:lineRule="auto"/>
              <w:jc w:val="center"/>
              <w:rPr>
                <w:rFonts w:ascii="宋体" w:hAnsi="宋体"/>
                <w:szCs w:val="18"/>
              </w:rPr>
            </w:pPr>
            <w:r>
              <w:rPr>
                <w:rFonts w:hint="eastAsia" w:ascii="宋体" w:hAnsi="宋体"/>
                <w:szCs w:val="18"/>
              </w:rPr>
              <w:t>财务结果</w:t>
            </w:r>
          </w:p>
        </w:tc>
        <w:tc>
          <w:tcPr>
            <w:tcW w:w="3202" w:type="dxa"/>
            <w:vAlign w:val="center"/>
          </w:tcPr>
          <w:p>
            <w:pPr>
              <w:spacing w:line="276" w:lineRule="auto"/>
              <w:jc w:val="center"/>
              <w:rPr>
                <w:rFonts w:ascii="宋体" w:hAnsi="宋体"/>
                <w:szCs w:val="18"/>
              </w:rPr>
            </w:pPr>
            <w:r>
              <w:rPr>
                <w:rFonts w:hint="eastAsia" w:ascii="宋体" w:hAnsi="宋体"/>
                <w:szCs w:val="18"/>
              </w:rPr>
              <w:t>主营业务收入、利润、纳税情况</w:t>
            </w:r>
          </w:p>
        </w:tc>
        <w:tc>
          <w:tcPr>
            <w:tcW w:w="1841" w:type="dxa"/>
            <w:vAlign w:val="center"/>
          </w:tcPr>
          <w:p>
            <w:pPr>
              <w:spacing w:line="276" w:lineRule="auto"/>
              <w:jc w:val="center"/>
              <w:rPr>
                <w:rFonts w:ascii="宋体" w:hAnsi="宋体"/>
                <w:szCs w:val="18"/>
              </w:rPr>
            </w:pPr>
            <w:r>
              <w:rPr>
                <w:rFonts w:hint="eastAsia" w:ascii="宋体" w:hAnsi="宋体"/>
                <w:szCs w:val="18"/>
              </w:rPr>
              <w:t>季度工作会</w:t>
            </w:r>
          </w:p>
        </w:tc>
        <w:tc>
          <w:tcPr>
            <w:tcW w:w="1395" w:type="dxa"/>
            <w:vAlign w:val="center"/>
          </w:tcPr>
          <w:p>
            <w:pPr>
              <w:spacing w:line="276" w:lineRule="auto"/>
              <w:jc w:val="center"/>
              <w:rPr>
                <w:rFonts w:ascii="宋体" w:hAnsi="宋体"/>
                <w:szCs w:val="18"/>
              </w:rPr>
            </w:pPr>
            <w:r>
              <w:rPr>
                <w:rFonts w:hint="eastAsia" w:ascii="宋体" w:hAnsi="宋体"/>
                <w:szCs w:val="18"/>
              </w:rPr>
              <w:t>每季1次</w:t>
            </w:r>
          </w:p>
        </w:tc>
        <w:tc>
          <w:tcPr>
            <w:tcW w:w="1175" w:type="dxa"/>
            <w:vMerge w:val="restart"/>
            <w:vAlign w:val="center"/>
          </w:tcPr>
          <w:p>
            <w:pPr>
              <w:spacing w:line="276" w:lineRule="auto"/>
              <w:jc w:val="center"/>
              <w:rPr>
                <w:rFonts w:ascii="宋体" w:hAnsi="宋体"/>
                <w:szCs w:val="18"/>
              </w:rPr>
            </w:pPr>
            <w:r>
              <w:rPr>
                <w:rFonts w:hint="eastAsia" w:ascii="宋体" w:hAnsi="宋体"/>
                <w:szCs w:val="18"/>
              </w:rPr>
              <w:t>会议纪要评审报告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36" w:type="dxa"/>
            <w:vMerge w:val="restart"/>
            <w:vAlign w:val="center"/>
          </w:tcPr>
          <w:p>
            <w:pPr>
              <w:spacing w:line="276" w:lineRule="auto"/>
              <w:jc w:val="center"/>
              <w:rPr>
                <w:rFonts w:ascii="宋体" w:hAnsi="宋体"/>
                <w:szCs w:val="18"/>
              </w:rPr>
            </w:pPr>
            <w:r>
              <w:rPr>
                <w:rFonts w:hint="eastAsia" w:ascii="宋体" w:hAnsi="宋体"/>
                <w:szCs w:val="18"/>
              </w:rPr>
              <w:t>顾客与市场绩效</w:t>
            </w:r>
          </w:p>
        </w:tc>
        <w:tc>
          <w:tcPr>
            <w:tcW w:w="3202" w:type="dxa"/>
            <w:vAlign w:val="center"/>
          </w:tcPr>
          <w:p>
            <w:pPr>
              <w:spacing w:line="276" w:lineRule="auto"/>
              <w:jc w:val="center"/>
              <w:rPr>
                <w:rFonts w:ascii="宋体" w:hAnsi="宋体"/>
                <w:szCs w:val="18"/>
              </w:rPr>
            </w:pPr>
            <w:r>
              <w:rPr>
                <w:rFonts w:hint="eastAsia" w:ascii="宋体" w:hAnsi="宋体"/>
                <w:szCs w:val="18"/>
              </w:rPr>
              <w:t>顾客投诉处理率</w:t>
            </w:r>
          </w:p>
        </w:tc>
        <w:tc>
          <w:tcPr>
            <w:tcW w:w="1841" w:type="dxa"/>
            <w:vAlign w:val="center"/>
          </w:tcPr>
          <w:p>
            <w:pPr>
              <w:spacing w:line="276" w:lineRule="auto"/>
              <w:jc w:val="center"/>
              <w:rPr>
                <w:rFonts w:ascii="宋体" w:hAnsi="宋体"/>
                <w:szCs w:val="18"/>
              </w:rPr>
            </w:pPr>
            <w:r>
              <w:rPr>
                <w:rFonts w:hint="eastAsia" w:ascii="宋体" w:hAnsi="宋体"/>
                <w:szCs w:val="18"/>
              </w:rPr>
              <w:t>销售例会</w:t>
            </w:r>
          </w:p>
        </w:tc>
        <w:tc>
          <w:tcPr>
            <w:tcW w:w="1395" w:type="dxa"/>
            <w:vAlign w:val="center"/>
          </w:tcPr>
          <w:p>
            <w:pPr>
              <w:spacing w:line="276" w:lineRule="auto"/>
              <w:jc w:val="center"/>
              <w:rPr>
                <w:rFonts w:ascii="宋体" w:hAnsi="宋体"/>
                <w:szCs w:val="18"/>
              </w:rPr>
            </w:pPr>
            <w:r>
              <w:rPr>
                <w:rFonts w:hint="eastAsia" w:ascii="宋体" w:hAnsi="宋体"/>
                <w:szCs w:val="18"/>
              </w:rPr>
              <w:t>每月一次</w:t>
            </w:r>
          </w:p>
        </w:tc>
        <w:tc>
          <w:tcPr>
            <w:tcW w:w="1175" w:type="dxa"/>
            <w:vMerge w:val="continue"/>
            <w:vAlign w:val="center"/>
          </w:tcPr>
          <w:p>
            <w:pPr>
              <w:spacing w:line="276" w:lineRule="auto"/>
              <w:jc w:val="center"/>
              <w:rPr>
                <w:rFonts w:ascii="宋体" w:hAnsi="宋体"/>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36" w:type="dxa"/>
            <w:vMerge w:val="continue"/>
            <w:vAlign w:val="center"/>
          </w:tcPr>
          <w:p>
            <w:pPr>
              <w:spacing w:line="276" w:lineRule="auto"/>
              <w:jc w:val="center"/>
              <w:rPr>
                <w:rFonts w:ascii="宋体" w:hAnsi="宋体"/>
                <w:szCs w:val="18"/>
              </w:rPr>
            </w:pPr>
          </w:p>
        </w:tc>
        <w:tc>
          <w:tcPr>
            <w:tcW w:w="3202" w:type="dxa"/>
            <w:vAlign w:val="center"/>
          </w:tcPr>
          <w:p>
            <w:pPr>
              <w:spacing w:line="276" w:lineRule="auto"/>
              <w:jc w:val="center"/>
              <w:rPr>
                <w:rFonts w:ascii="宋体" w:hAnsi="宋体"/>
                <w:szCs w:val="18"/>
              </w:rPr>
            </w:pPr>
            <w:r>
              <w:rPr>
                <w:rFonts w:hint="eastAsia" w:ascii="宋体" w:hAnsi="宋体"/>
                <w:szCs w:val="18"/>
              </w:rPr>
              <w:t>顾客满意度、市场占有率</w:t>
            </w:r>
          </w:p>
        </w:tc>
        <w:tc>
          <w:tcPr>
            <w:tcW w:w="1841" w:type="dxa"/>
            <w:vAlign w:val="center"/>
          </w:tcPr>
          <w:p>
            <w:pPr>
              <w:spacing w:line="276" w:lineRule="auto"/>
              <w:jc w:val="center"/>
              <w:rPr>
                <w:rFonts w:ascii="宋体" w:hAnsi="宋体"/>
                <w:szCs w:val="18"/>
              </w:rPr>
            </w:pPr>
            <w:r>
              <w:rPr>
                <w:rFonts w:hint="eastAsia" w:ascii="宋体" w:hAnsi="宋体"/>
                <w:szCs w:val="18"/>
              </w:rPr>
              <w:t>销售例会</w:t>
            </w:r>
          </w:p>
        </w:tc>
        <w:tc>
          <w:tcPr>
            <w:tcW w:w="1395" w:type="dxa"/>
            <w:vAlign w:val="center"/>
          </w:tcPr>
          <w:p>
            <w:pPr>
              <w:spacing w:line="276" w:lineRule="auto"/>
              <w:jc w:val="center"/>
              <w:rPr>
                <w:rFonts w:ascii="宋体" w:hAnsi="宋体"/>
                <w:szCs w:val="18"/>
              </w:rPr>
            </w:pPr>
            <w:r>
              <w:rPr>
                <w:rFonts w:hint="eastAsia" w:ascii="宋体" w:hAnsi="宋体"/>
                <w:szCs w:val="18"/>
              </w:rPr>
              <w:t>每年一次</w:t>
            </w:r>
          </w:p>
        </w:tc>
        <w:tc>
          <w:tcPr>
            <w:tcW w:w="1175" w:type="dxa"/>
            <w:vMerge w:val="continue"/>
            <w:vAlign w:val="center"/>
          </w:tcPr>
          <w:p>
            <w:pPr>
              <w:spacing w:line="276" w:lineRule="auto"/>
              <w:jc w:val="center"/>
              <w:rPr>
                <w:rFonts w:ascii="宋体" w:hAnsi="宋体"/>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36" w:type="dxa"/>
            <w:vMerge w:val="restart"/>
            <w:vAlign w:val="center"/>
          </w:tcPr>
          <w:p>
            <w:pPr>
              <w:spacing w:line="276" w:lineRule="auto"/>
              <w:jc w:val="center"/>
              <w:rPr>
                <w:rFonts w:ascii="宋体" w:hAnsi="宋体"/>
                <w:szCs w:val="18"/>
              </w:rPr>
            </w:pPr>
            <w:r>
              <w:rPr>
                <w:rFonts w:hint="eastAsia" w:ascii="宋体" w:hAnsi="宋体"/>
                <w:szCs w:val="18"/>
              </w:rPr>
              <w:t>内部运营绩效</w:t>
            </w:r>
          </w:p>
        </w:tc>
        <w:tc>
          <w:tcPr>
            <w:tcW w:w="3202" w:type="dxa"/>
            <w:vAlign w:val="center"/>
          </w:tcPr>
          <w:p>
            <w:pPr>
              <w:spacing w:line="276" w:lineRule="auto"/>
              <w:jc w:val="center"/>
              <w:rPr>
                <w:rFonts w:ascii="宋体" w:hAnsi="宋体"/>
                <w:szCs w:val="18"/>
              </w:rPr>
            </w:pPr>
            <w:r>
              <w:rPr>
                <w:rFonts w:hint="eastAsia" w:ascii="宋体" w:hAnsi="宋体"/>
                <w:szCs w:val="18"/>
              </w:rPr>
              <w:t>产品交货及时率、产品交检合格率</w:t>
            </w:r>
          </w:p>
        </w:tc>
        <w:tc>
          <w:tcPr>
            <w:tcW w:w="1841" w:type="dxa"/>
            <w:vMerge w:val="restart"/>
            <w:vAlign w:val="center"/>
          </w:tcPr>
          <w:p>
            <w:pPr>
              <w:spacing w:line="276" w:lineRule="auto"/>
              <w:jc w:val="center"/>
              <w:rPr>
                <w:rFonts w:ascii="宋体" w:hAnsi="宋体"/>
                <w:szCs w:val="18"/>
              </w:rPr>
            </w:pPr>
            <w:r>
              <w:rPr>
                <w:rFonts w:hint="eastAsia" w:ascii="宋体" w:hAnsi="宋体"/>
                <w:szCs w:val="18"/>
              </w:rPr>
              <w:t>总经理例会</w:t>
            </w:r>
          </w:p>
        </w:tc>
        <w:tc>
          <w:tcPr>
            <w:tcW w:w="1395" w:type="dxa"/>
            <w:vMerge w:val="restart"/>
            <w:vAlign w:val="center"/>
          </w:tcPr>
          <w:p>
            <w:pPr>
              <w:spacing w:line="276" w:lineRule="auto"/>
              <w:jc w:val="center"/>
              <w:rPr>
                <w:rFonts w:ascii="宋体" w:hAnsi="宋体"/>
                <w:szCs w:val="18"/>
              </w:rPr>
            </w:pPr>
            <w:r>
              <w:rPr>
                <w:rFonts w:hint="eastAsia" w:ascii="宋体" w:hAnsi="宋体"/>
                <w:szCs w:val="18"/>
              </w:rPr>
              <w:t>每季一次</w:t>
            </w:r>
          </w:p>
        </w:tc>
        <w:tc>
          <w:tcPr>
            <w:tcW w:w="1175" w:type="dxa"/>
            <w:vMerge w:val="continue"/>
            <w:vAlign w:val="center"/>
          </w:tcPr>
          <w:p>
            <w:pPr>
              <w:spacing w:line="276" w:lineRule="auto"/>
              <w:jc w:val="center"/>
              <w:rPr>
                <w:rFonts w:ascii="宋体" w:hAnsi="宋体"/>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36" w:type="dxa"/>
            <w:vMerge w:val="continue"/>
            <w:vAlign w:val="center"/>
          </w:tcPr>
          <w:p>
            <w:pPr>
              <w:spacing w:line="276" w:lineRule="auto"/>
              <w:jc w:val="center"/>
              <w:rPr>
                <w:rFonts w:ascii="宋体" w:hAnsi="宋体"/>
                <w:szCs w:val="18"/>
              </w:rPr>
            </w:pPr>
          </w:p>
        </w:tc>
        <w:tc>
          <w:tcPr>
            <w:tcW w:w="3202" w:type="dxa"/>
            <w:vAlign w:val="center"/>
          </w:tcPr>
          <w:p>
            <w:pPr>
              <w:spacing w:line="276" w:lineRule="auto"/>
              <w:jc w:val="center"/>
              <w:rPr>
                <w:rFonts w:ascii="宋体" w:hAnsi="宋体"/>
                <w:szCs w:val="18"/>
              </w:rPr>
            </w:pPr>
            <w:r>
              <w:rPr>
                <w:rFonts w:hint="eastAsia" w:ascii="宋体" w:hAnsi="宋体"/>
                <w:szCs w:val="18"/>
              </w:rPr>
              <w:t>贷款结算及时率</w:t>
            </w:r>
          </w:p>
        </w:tc>
        <w:tc>
          <w:tcPr>
            <w:tcW w:w="1841" w:type="dxa"/>
            <w:vMerge w:val="continue"/>
            <w:vAlign w:val="center"/>
          </w:tcPr>
          <w:p>
            <w:pPr>
              <w:spacing w:line="276" w:lineRule="auto"/>
              <w:jc w:val="center"/>
              <w:rPr>
                <w:rFonts w:ascii="宋体" w:hAnsi="宋体"/>
                <w:szCs w:val="18"/>
              </w:rPr>
            </w:pPr>
          </w:p>
        </w:tc>
        <w:tc>
          <w:tcPr>
            <w:tcW w:w="1395" w:type="dxa"/>
            <w:vMerge w:val="continue"/>
            <w:vAlign w:val="center"/>
          </w:tcPr>
          <w:p>
            <w:pPr>
              <w:spacing w:line="276" w:lineRule="auto"/>
              <w:jc w:val="center"/>
              <w:rPr>
                <w:rFonts w:ascii="宋体" w:hAnsi="宋体"/>
                <w:szCs w:val="18"/>
              </w:rPr>
            </w:pPr>
          </w:p>
        </w:tc>
        <w:tc>
          <w:tcPr>
            <w:tcW w:w="1175" w:type="dxa"/>
            <w:vMerge w:val="continue"/>
            <w:vAlign w:val="center"/>
          </w:tcPr>
          <w:p>
            <w:pPr>
              <w:spacing w:line="276" w:lineRule="auto"/>
              <w:jc w:val="center"/>
              <w:rPr>
                <w:rFonts w:ascii="宋体" w:hAnsi="宋体"/>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36" w:type="dxa"/>
            <w:vAlign w:val="center"/>
          </w:tcPr>
          <w:p>
            <w:pPr>
              <w:spacing w:line="276" w:lineRule="auto"/>
              <w:jc w:val="center"/>
              <w:rPr>
                <w:rFonts w:ascii="宋体" w:hAnsi="宋体"/>
                <w:szCs w:val="18"/>
              </w:rPr>
            </w:pPr>
            <w:r>
              <w:rPr>
                <w:rFonts w:hint="eastAsia" w:ascii="宋体" w:hAnsi="宋体"/>
                <w:szCs w:val="18"/>
              </w:rPr>
              <w:t>人力资源绩效</w:t>
            </w:r>
          </w:p>
        </w:tc>
        <w:tc>
          <w:tcPr>
            <w:tcW w:w="3202" w:type="dxa"/>
            <w:vAlign w:val="center"/>
          </w:tcPr>
          <w:p>
            <w:pPr>
              <w:spacing w:line="276" w:lineRule="auto"/>
              <w:jc w:val="center"/>
              <w:rPr>
                <w:rFonts w:ascii="宋体" w:hAnsi="宋体"/>
                <w:szCs w:val="18"/>
              </w:rPr>
            </w:pPr>
            <w:r>
              <w:rPr>
                <w:rFonts w:hint="eastAsia" w:ascii="宋体" w:hAnsi="宋体"/>
                <w:szCs w:val="18"/>
              </w:rPr>
              <w:t>员工流失率</w:t>
            </w:r>
          </w:p>
        </w:tc>
        <w:tc>
          <w:tcPr>
            <w:tcW w:w="1841" w:type="dxa"/>
            <w:vAlign w:val="center"/>
          </w:tcPr>
          <w:p>
            <w:pPr>
              <w:spacing w:line="276" w:lineRule="auto"/>
              <w:jc w:val="center"/>
              <w:rPr>
                <w:rFonts w:ascii="宋体" w:hAnsi="宋体"/>
                <w:szCs w:val="18"/>
              </w:rPr>
            </w:pPr>
            <w:r>
              <w:rPr>
                <w:rFonts w:hint="eastAsia" w:ascii="宋体" w:hAnsi="宋体"/>
                <w:szCs w:val="18"/>
              </w:rPr>
              <w:t>年度工作会</w:t>
            </w:r>
          </w:p>
        </w:tc>
        <w:tc>
          <w:tcPr>
            <w:tcW w:w="1395" w:type="dxa"/>
            <w:vAlign w:val="center"/>
          </w:tcPr>
          <w:p>
            <w:pPr>
              <w:spacing w:line="276" w:lineRule="auto"/>
              <w:jc w:val="center"/>
              <w:rPr>
                <w:rFonts w:ascii="宋体" w:hAnsi="宋体"/>
                <w:szCs w:val="18"/>
              </w:rPr>
            </w:pPr>
            <w:r>
              <w:rPr>
                <w:rFonts w:hint="eastAsia" w:ascii="宋体" w:hAnsi="宋体"/>
                <w:szCs w:val="18"/>
              </w:rPr>
              <w:t>每年一次</w:t>
            </w:r>
          </w:p>
        </w:tc>
        <w:tc>
          <w:tcPr>
            <w:tcW w:w="1175" w:type="dxa"/>
            <w:vMerge w:val="continue"/>
            <w:vAlign w:val="center"/>
          </w:tcPr>
          <w:p>
            <w:pPr>
              <w:spacing w:line="276" w:lineRule="auto"/>
              <w:jc w:val="center"/>
              <w:rPr>
                <w:rFonts w:ascii="宋体" w:hAnsi="宋体"/>
                <w:szCs w:val="18"/>
              </w:rPr>
            </w:pPr>
          </w:p>
        </w:tc>
      </w:tr>
    </w:tbl>
    <w:p>
      <w:pPr>
        <w:spacing w:line="360" w:lineRule="auto"/>
        <w:rPr>
          <w:rFonts w:ascii="宋体" w:hAnsi="宋体" w:cs="Courier New"/>
          <w:color w:val="000000"/>
          <w:sz w:val="24"/>
          <w:szCs w:val="24"/>
        </w:rPr>
      </w:pPr>
    </w:p>
    <w:p>
      <w:pPr>
        <w:spacing w:line="360" w:lineRule="auto"/>
        <w:ind w:firstLine="480" w:firstLineChars="200"/>
        <w:rPr>
          <w:rFonts w:ascii="宋体" w:hAnsi="宋体" w:cs="Courier New"/>
          <w:color w:val="000000"/>
          <w:sz w:val="24"/>
          <w:szCs w:val="24"/>
        </w:rPr>
      </w:pPr>
      <w:r>
        <w:rPr>
          <w:rFonts w:hint="eastAsia" w:ascii="宋体" w:hAnsi="宋体" w:cs="Courier New"/>
          <w:color w:val="000000"/>
          <w:sz w:val="24"/>
          <w:szCs w:val="24"/>
        </w:rPr>
        <w:t>高层领导主要依据业务对组织绩效的影响程度和业务需要改进的紧急程度来确定和改进关键业务。通过对组织的绩效评审，确定并落实改进关键业务的优先次序为：1、影响顾客满意度的业务；2、影响公司利润的业务。高层领导认为开发并提供质量优质、价格适中、满足市场需求的产品是提高顾客满意、扩大市场占有率、提升组织绩效的关键所在，因此，高层领导把提升发展技术创新，开发新产品等作为关键业务来进行改进。针对评价结果，积极确定并落实关键业务的优先次序，为了适应</w:t>
      </w:r>
      <w:r>
        <w:rPr>
          <w:rFonts w:hint="eastAsia" w:ascii="宋体" w:hAnsi="宋体" w:cs="Courier New"/>
          <w:color w:val="000000"/>
          <w:sz w:val="24"/>
          <w:szCs w:val="24"/>
          <w:lang w:eastAsia="zh-CN"/>
        </w:rPr>
        <w:t>万赛</w:t>
      </w:r>
      <w:r>
        <w:rPr>
          <w:rFonts w:hint="eastAsia" w:ascii="宋体" w:hAnsi="宋体" w:cs="Courier New"/>
          <w:color w:val="000000"/>
          <w:sz w:val="24"/>
          <w:szCs w:val="24"/>
        </w:rPr>
        <w:t>家居行业的高新技术发展态势。通过技改，改变原有设备陈旧水平，增设新设备，提高现代化水平。</w:t>
      </w:r>
    </w:p>
    <w:p>
      <w:pPr>
        <w:spacing w:line="360" w:lineRule="auto"/>
        <w:ind w:firstLine="480" w:firstLineChars="200"/>
        <w:rPr>
          <w:rFonts w:ascii="宋体" w:hAnsi="宋体" w:cs="Courier New"/>
          <w:color w:val="000000"/>
          <w:sz w:val="24"/>
          <w:szCs w:val="24"/>
        </w:rPr>
      </w:pPr>
      <w:r>
        <w:rPr>
          <w:rFonts w:hint="eastAsia" w:ascii="宋体" w:hAnsi="宋体" w:cs="Courier New"/>
          <w:color w:val="000000"/>
          <w:sz w:val="24"/>
          <w:szCs w:val="24"/>
        </w:rPr>
        <w:t>公司围绕战略目标、顾客与其他相关方的要求，根据绩效考核结果确定的优先改进业务，确定改进关键业务次序后，公司高层领导通过展会、市场调研、同行拜访、会议、电话、邮件、年会等多种方式与供应商和顾客以及相关方进行充分沟通、取得相关方的理解与支持，确保协调一致，共赢发展。</w:t>
      </w:r>
    </w:p>
    <w:p>
      <w:pPr>
        <w:adjustRightInd w:val="0"/>
        <w:spacing w:line="360" w:lineRule="auto"/>
        <w:ind w:firstLine="480" w:firstLineChars="200"/>
        <w:rPr>
          <w:rFonts w:ascii="宋体" w:hAnsi="宋体"/>
          <w:sz w:val="24"/>
        </w:rPr>
      </w:pPr>
      <w:r>
        <w:rPr>
          <w:rFonts w:hint="eastAsia" w:ascii="宋体" w:hAnsi="宋体"/>
          <w:sz w:val="24"/>
        </w:rPr>
        <w:t>高层领导的绩效结合年度的董事会总体评价，公司相关管理人员的民主测评，以及市场和其他受益者对公司的评价和信息反馈进行评审，评审的具体内容及意义见表5-3。</w:t>
      </w:r>
    </w:p>
    <w:p>
      <w:pPr>
        <w:pStyle w:val="77"/>
        <w:spacing w:before="120"/>
        <w:jc w:val="center"/>
        <w:rPr>
          <w:rFonts w:ascii="宋体" w:hAnsi="宋体"/>
          <w:b/>
        </w:rPr>
      </w:pPr>
      <w:r>
        <w:rPr>
          <w:rFonts w:hint="eastAsia" w:ascii="宋体" w:hAnsi="宋体"/>
          <w:b/>
        </w:rPr>
        <w:t>表5-3 对高层领导及领导体系绩效的评审</w:t>
      </w:r>
    </w:p>
    <w:tbl>
      <w:tblPr>
        <w:tblStyle w:val="37"/>
        <w:tblW w:w="90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6"/>
        <w:gridCol w:w="72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1806" w:type="dxa"/>
            <w:shd w:val="clear" w:color="auto" w:fill="C00000"/>
            <w:vAlign w:val="center"/>
          </w:tcPr>
          <w:p>
            <w:pPr>
              <w:spacing w:line="276" w:lineRule="auto"/>
              <w:jc w:val="center"/>
              <w:rPr>
                <w:rFonts w:ascii="宋体" w:hAnsi="宋体" w:cs="Courier New"/>
                <w:b/>
                <w:color w:val="FFFFFF"/>
                <w:szCs w:val="18"/>
              </w:rPr>
            </w:pPr>
            <w:r>
              <w:rPr>
                <w:rFonts w:hint="eastAsia" w:ascii="宋体" w:hAnsi="宋体" w:cs="Courier New"/>
                <w:b/>
                <w:color w:val="FFFFFF"/>
                <w:szCs w:val="18"/>
              </w:rPr>
              <w:t>评价指标</w:t>
            </w:r>
          </w:p>
        </w:tc>
        <w:tc>
          <w:tcPr>
            <w:tcW w:w="7243" w:type="dxa"/>
            <w:shd w:val="clear" w:color="auto" w:fill="C00000"/>
            <w:vAlign w:val="center"/>
          </w:tcPr>
          <w:p>
            <w:pPr>
              <w:spacing w:line="276" w:lineRule="auto"/>
              <w:jc w:val="center"/>
              <w:rPr>
                <w:rFonts w:ascii="宋体" w:hAnsi="宋体" w:cs="Courier New"/>
                <w:b/>
                <w:color w:val="FFFFFF"/>
                <w:szCs w:val="18"/>
              </w:rPr>
            </w:pPr>
            <w:r>
              <w:rPr>
                <w:rFonts w:hint="eastAsia" w:ascii="宋体" w:hAnsi="宋体" w:cs="Courier New"/>
                <w:b/>
                <w:color w:val="FFFFFF"/>
                <w:szCs w:val="18"/>
              </w:rPr>
              <w:t>评价内容及意义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shd w:val="clear" w:color="auto" w:fill="auto"/>
            <w:vAlign w:val="center"/>
          </w:tcPr>
          <w:p>
            <w:pPr>
              <w:spacing w:line="276" w:lineRule="auto"/>
              <w:jc w:val="center"/>
              <w:rPr>
                <w:rFonts w:ascii="宋体" w:hAnsi="宋体" w:cs="Courier New"/>
                <w:color w:val="000000"/>
                <w:szCs w:val="18"/>
              </w:rPr>
            </w:pPr>
            <w:r>
              <w:rPr>
                <w:rFonts w:hint="eastAsia" w:ascii="宋体" w:hAnsi="宋体" w:cs="Courier New"/>
                <w:color w:val="000000"/>
                <w:szCs w:val="18"/>
              </w:rPr>
              <w:t>企业资源</w:t>
            </w:r>
          </w:p>
        </w:tc>
        <w:tc>
          <w:tcPr>
            <w:tcW w:w="7243" w:type="dxa"/>
            <w:shd w:val="clear" w:color="auto" w:fill="auto"/>
            <w:vAlign w:val="center"/>
          </w:tcPr>
          <w:p>
            <w:pPr>
              <w:spacing w:line="276" w:lineRule="auto"/>
              <w:rPr>
                <w:rFonts w:ascii="宋体" w:hAnsi="宋体" w:cs="Courier New"/>
                <w:color w:val="000000"/>
                <w:szCs w:val="18"/>
              </w:rPr>
            </w:pPr>
            <w:r>
              <w:rPr>
                <w:rFonts w:hint="eastAsia" w:ascii="宋体" w:hAnsi="宋体" w:cs="Courier New"/>
                <w:color w:val="000000"/>
                <w:szCs w:val="18"/>
              </w:rPr>
              <w:t>1、包括外部的自然资源、社会资源和企业内部人力资源和物质资源的考核。2、科学的考核评价，摸清企业在经济实力、经济效益、经营状况、资源利用等以提高运行质量。3、摸清企业在制度保障、制度建设、制度管理、制度激励等运行机制方面的真实状况，以理顺各方面关系发展最大管理效能。4、摸清整个职工队伍的人员素质构成，以最大发挥每一个职工的创造潜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shd w:val="clear" w:color="auto" w:fill="auto"/>
            <w:vAlign w:val="center"/>
          </w:tcPr>
          <w:p>
            <w:pPr>
              <w:spacing w:line="276" w:lineRule="auto"/>
              <w:jc w:val="center"/>
              <w:rPr>
                <w:rFonts w:ascii="宋体" w:hAnsi="宋体" w:cs="Courier New"/>
                <w:color w:val="000000"/>
                <w:szCs w:val="18"/>
              </w:rPr>
            </w:pPr>
            <w:r>
              <w:rPr>
                <w:rFonts w:hint="eastAsia" w:ascii="宋体" w:hAnsi="宋体" w:cs="Courier New"/>
                <w:color w:val="000000"/>
                <w:szCs w:val="18"/>
              </w:rPr>
              <w:t>企业核心竞争力</w:t>
            </w:r>
          </w:p>
        </w:tc>
        <w:tc>
          <w:tcPr>
            <w:tcW w:w="7243" w:type="dxa"/>
            <w:shd w:val="clear" w:color="auto" w:fill="auto"/>
            <w:vAlign w:val="center"/>
          </w:tcPr>
          <w:p>
            <w:pPr>
              <w:spacing w:line="276" w:lineRule="auto"/>
              <w:rPr>
                <w:rFonts w:ascii="宋体" w:hAnsi="宋体" w:cs="Courier New"/>
                <w:color w:val="000000"/>
                <w:szCs w:val="18"/>
              </w:rPr>
            </w:pPr>
            <w:r>
              <w:rPr>
                <w:rFonts w:hint="eastAsia" w:ascii="宋体" w:hAnsi="宋体" w:cs="Courier New"/>
                <w:color w:val="000000"/>
                <w:szCs w:val="18"/>
              </w:rPr>
              <w:t>1、通过对众多可能形成企业核心竞争力的因素进行分析、概括和考核评价，有利于正确认识自己，改进自己；2、找准薄弱点，把各项基础工作做好做实，客观看待企业发展的实际水平，把握好正确的定位并确定进一步发展的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shd w:val="clear" w:color="auto" w:fill="auto"/>
            <w:vAlign w:val="center"/>
          </w:tcPr>
          <w:p>
            <w:pPr>
              <w:spacing w:line="276" w:lineRule="auto"/>
              <w:jc w:val="center"/>
              <w:rPr>
                <w:rFonts w:ascii="宋体" w:hAnsi="宋体" w:cs="Courier New"/>
                <w:color w:val="000000"/>
                <w:szCs w:val="18"/>
              </w:rPr>
            </w:pPr>
            <w:r>
              <w:rPr>
                <w:rFonts w:hint="eastAsia" w:ascii="宋体" w:hAnsi="宋体" w:cs="Courier New"/>
                <w:color w:val="000000"/>
                <w:szCs w:val="18"/>
              </w:rPr>
              <w:t>企业文化建设</w:t>
            </w:r>
          </w:p>
        </w:tc>
        <w:tc>
          <w:tcPr>
            <w:tcW w:w="7243" w:type="dxa"/>
            <w:shd w:val="clear" w:color="auto" w:fill="auto"/>
            <w:vAlign w:val="center"/>
          </w:tcPr>
          <w:p>
            <w:pPr>
              <w:spacing w:line="276" w:lineRule="auto"/>
              <w:rPr>
                <w:rFonts w:ascii="宋体" w:hAnsi="宋体" w:cs="Courier New"/>
                <w:color w:val="000000"/>
                <w:szCs w:val="18"/>
              </w:rPr>
            </w:pPr>
            <w:r>
              <w:rPr>
                <w:rFonts w:hint="eastAsia" w:ascii="宋体" w:hAnsi="宋体" w:cs="Courier New"/>
                <w:color w:val="000000"/>
                <w:szCs w:val="18"/>
              </w:rPr>
              <w:t>1、考核评价企业文化建设着眼于其人本内涵，着力于其建设，使其通过创新更加符合时代要求；2、在企业发展中的发挥企业文化更大的凝聚、粘和、协调、激励、推进、规范行业的准则。</w:t>
            </w:r>
          </w:p>
        </w:tc>
      </w:tr>
    </w:tbl>
    <w:p>
      <w:pPr>
        <w:spacing w:line="360" w:lineRule="auto"/>
        <w:ind w:firstLine="480"/>
        <w:rPr>
          <w:rFonts w:ascii="宋体" w:hAnsi="宋体"/>
          <w:sz w:val="24"/>
        </w:rPr>
      </w:pPr>
      <w:r>
        <w:rPr>
          <w:rFonts w:hint="eastAsia" w:ascii="宋体" w:hAnsi="宋体" w:cs="Courier New"/>
          <w:color w:val="000000"/>
          <w:sz w:val="24"/>
          <w:szCs w:val="24"/>
        </w:rPr>
        <w:t>公司高层领导的个人绩效评价结果与公司的实际绩效结果紧密联系，绩效和个人业绩挂钩，高层级领导的绩效，每年由高层领导集体讨论决议公司年度的企业经营目标、高层领导的工作目标、年薪标准和考核办法，经过大会决议通过后实施，年终对当年的工作目标进行考核，根据业绩考核的结果来发放相应的绩效薪酬，从而增强管理者的使命感、责任感、紧迫感、危机感，</w:t>
      </w:r>
      <w:r>
        <w:rPr>
          <w:rFonts w:hint="eastAsia" w:ascii="宋体" w:hAnsi="宋体"/>
          <w:color w:val="000000"/>
          <w:sz w:val="24"/>
          <w:szCs w:val="24"/>
        </w:rPr>
        <w:t>提高领导体系的有效性和实用性，精简不合理的职能，完善高层的职能。随着领导体系有效性不断提升，极大地促进了公司的飞速发展，提高了公司的业绩。</w:t>
      </w:r>
    </w:p>
    <w:p>
      <w:pPr>
        <w:adjustRightInd w:val="0"/>
        <w:spacing w:before="120" w:beforeLines="50" w:after="120" w:afterLines="50" w:line="276" w:lineRule="auto"/>
        <w:outlineLvl w:val="1"/>
        <w:rPr>
          <w:rFonts w:ascii="宋体" w:hAnsi="宋体"/>
          <w:b/>
          <w:sz w:val="28"/>
          <w:szCs w:val="21"/>
        </w:rPr>
      </w:pPr>
      <w:bookmarkStart w:id="18" w:name="_Toc301282792"/>
      <w:bookmarkStart w:id="19" w:name="_Toc261952245"/>
      <w:bookmarkStart w:id="20" w:name="_Toc230435330"/>
      <w:bookmarkStart w:id="21" w:name="_Toc230435566"/>
      <w:bookmarkStart w:id="22" w:name="_Toc306719802"/>
      <w:bookmarkStart w:id="23" w:name="_Toc211149637"/>
      <w:bookmarkStart w:id="24" w:name="_Toc261883118"/>
      <w:bookmarkStart w:id="25" w:name="_Toc230143138"/>
      <w:bookmarkStart w:id="26" w:name="_Toc523312697"/>
      <w:r>
        <w:rPr>
          <w:rFonts w:hint="eastAsia" w:ascii="宋体" w:hAnsi="宋体"/>
          <w:b/>
          <w:sz w:val="28"/>
          <w:szCs w:val="21"/>
        </w:rPr>
        <w:t>四、</w:t>
      </w:r>
      <w:r>
        <w:rPr>
          <w:rFonts w:ascii="宋体" w:hAnsi="宋体"/>
          <w:b/>
          <w:sz w:val="28"/>
          <w:szCs w:val="21"/>
        </w:rPr>
        <w:t>社会责任</w:t>
      </w:r>
      <w:bookmarkEnd w:id="18"/>
      <w:bookmarkEnd w:id="19"/>
      <w:bookmarkEnd w:id="20"/>
      <w:bookmarkEnd w:id="21"/>
      <w:bookmarkEnd w:id="22"/>
      <w:bookmarkEnd w:id="23"/>
      <w:bookmarkEnd w:id="24"/>
      <w:bookmarkEnd w:id="25"/>
      <w:bookmarkEnd w:id="26"/>
    </w:p>
    <w:p>
      <w:pPr>
        <w:pStyle w:val="4"/>
        <w:spacing w:before="120" w:after="120"/>
        <w:rPr>
          <w:sz w:val="24"/>
        </w:rPr>
      </w:pPr>
      <w:bookmarkStart w:id="27" w:name="_Toc523312698"/>
      <w:bookmarkStart w:id="28" w:name="_Toc523296981"/>
      <w:r>
        <w:rPr>
          <w:rFonts w:hint="eastAsia"/>
          <w:sz w:val="24"/>
        </w:rPr>
        <w:t>1、提要</w:t>
      </w:r>
      <w:bookmarkEnd w:id="27"/>
      <w:bookmarkEnd w:id="28"/>
    </w:p>
    <w:p>
      <w:pPr>
        <w:adjustRightInd w:val="0"/>
        <w:spacing w:line="360" w:lineRule="auto"/>
        <w:ind w:firstLine="420"/>
        <w:rPr>
          <w:rFonts w:ascii="宋体" w:hAnsi="宋体"/>
          <w:sz w:val="24"/>
          <w:szCs w:val="20"/>
        </w:rPr>
      </w:pPr>
      <w:r>
        <w:rPr>
          <w:rFonts w:ascii="宋体" w:hAnsi="宋体"/>
          <w:sz w:val="24"/>
          <w:szCs w:val="20"/>
        </w:rPr>
        <w:t>公司在企业不断发展的同时积极履行公共责任、公民义务及恪守道德规范。在公共责任方面，公司把环境保护作为工作中的重点，始终坚持</w:t>
      </w:r>
      <w:r>
        <w:rPr>
          <w:rFonts w:hint="eastAsia" w:ascii="宋体" w:hAnsi="宋体"/>
          <w:sz w:val="24"/>
          <w:szCs w:val="20"/>
        </w:rPr>
        <w:t>“</w:t>
      </w:r>
      <w:r>
        <w:rPr>
          <w:rFonts w:ascii="宋体" w:hAnsi="宋体"/>
          <w:sz w:val="24"/>
        </w:rPr>
        <w:t>遵守法规、节能减排、预防为主、持续改进、和谐发展</w:t>
      </w:r>
      <w:r>
        <w:rPr>
          <w:rFonts w:hint="eastAsia" w:ascii="宋体" w:hAnsi="宋体"/>
          <w:sz w:val="24"/>
          <w:szCs w:val="20"/>
        </w:rPr>
        <w:t>”</w:t>
      </w:r>
      <w:r>
        <w:rPr>
          <w:rFonts w:ascii="宋体" w:hAnsi="宋体"/>
          <w:sz w:val="24"/>
          <w:szCs w:val="20"/>
        </w:rPr>
        <w:t>的环境方针，为企业发展创造效益；在道德行为方面，公司积极开展企业自身公民实践，并重点兼顾顾客、公司员工、政府等利益相关方；在公益支持方面高层领导起了很好的带头示范作用，员工积极参加，不断回报社会。</w:t>
      </w:r>
    </w:p>
    <w:p>
      <w:pPr>
        <w:pStyle w:val="4"/>
        <w:spacing w:before="120" w:after="120"/>
        <w:rPr>
          <w:sz w:val="24"/>
        </w:rPr>
      </w:pPr>
      <w:bookmarkStart w:id="29" w:name="_Toc230435567"/>
      <w:bookmarkStart w:id="30" w:name="_Toc523296982"/>
      <w:bookmarkStart w:id="31" w:name="_Toc261952246"/>
      <w:bookmarkStart w:id="32" w:name="_Toc230143139"/>
      <w:bookmarkStart w:id="33" w:name="_Toc523312699"/>
      <w:bookmarkStart w:id="34" w:name="_Toc211149638"/>
      <w:bookmarkStart w:id="35" w:name="_Toc230435331"/>
      <w:bookmarkStart w:id="36" w:name="_Toc301282793"/>
      <w:bookmarkStart w:id="37" w:name="_Toc306719803"/>
      <w:r>
        <w:rPr>
          <w:rFonts w:hint="eastAsia"/>
          <w:sz w:val="24"/>
        </w:rPr>
        <w:t>2、</w:t>
      </w:r>
      <w:r>
        <w:rPr>
          <w:sz w:val="24"/>
        </w:rPr>
        <w:t xml:space="preserve"> 公共责任</w:t>
      </w:r>
      <w:bookmarkEnd w:id="29"/>
      <w:bookmarkEnd w:id="30"/>
      <w:bookmarkEnd w:id="31"/>
      <w:bookmarkEnd w:id="32"/>
      <w:bookmarkEnd w:id="33"/>
      <w:bookmarkEnd w:id="34"/>
      <w:bookmarkEnd w:id="35"/>
      <w:bookmarkEnd w:id="36"/>
      <w:bookmarkEnd w:id="37"/>
    </w:p>
    <w:p>
      <w:pPr>
        <w:pStyle w:val="5"/>
        <w:adjustRightInd w:val="0"/>
        <w:spacing w:before="120" w:after="120"/>
        <w:rPr>
          <w:rFonts w:ascii="宋体" w:hAnsi="宋体"/>
          <w:szCs w:val="21"/>
        </w:rPr>
      </w:pPr>
      <w:bookmarkStart w:id="38" w:name="_Toc211149639"/>
      <w:bookmarkStart w:id="39" w:name="_Toc230143140"/>
      <w:r>
        <w:rPr>
          <w:rFonts w:hint="eastAsia" w:ascii="宋体" w:hAnsi="宋体"/>
          <w:szCs w:val="21"/>
        </w:rPr>
        <w:t xml:space="preserve">2.1 </w:t>
      </w:r>
      <w:bookmarkEnd w:id="38"/>
      <w:bookmarkEnd w:id="39"/>
      <w:r>
        <w:rPr>
          <w:rFonts w:hint="eastAsia" w:ascii="宋体" w:hAnsi="宋体"/>
          <w:szCs w:val="21"/>
        </w:rPr>
        <w:t>应对质量安全、节能环保等</w:t>
      </w:r>
    </w:p>
    <w:p>
      <w:pPr>
        <w:adjustRightInd w:val="0"/>
        <w:spacing w:line="360" w:lineRule="auto"/>
        <w:ind w:firstLine="480" w:firstLineChars="200"/>
        <w:rPr>
          <w:rFonts w:ascii="宋体" w:hAnsi="宋体"/>
          <w:sz w:val="24"/>
          <w:szCs w:val="20"/>
        </w:rPr>
      </w:pPr>
      <w:bookmarkStart w:id="40" w:name="_Ref292823186"/>
      <w:r>
        <w:rPr>
          <w:rFonts w:hint="eastAsia" w:ascii="宋体" w:hAnsi="宋体"/>
          <w:sz w:val="24"/>
          <w:szCs w:val="20"/>
        </w:rPr>
        <w:t>公司谋求企业与环境的和谐，积极回报社会。通过对公司在企业运营中可能给社会造成的危害影响进行风险识别，并严格按照各种法律和法规，采取各种有效的措施，使之达到法律法规要求，维护社会公共利益。公司的运营主要涉及环境保护、安全生产等方面的影响。公司根据法律法规和强制标准的要求，确定关键过程和目标，并采取了相应的对策及测量方法等。</w:t>
      </w:r>
    </w:p>
    <w:p>
      <w:pPr>
        <w:adjustRightInd w:val="0"/>
        <w:spacing w:line="360" w:lineRule="auto"/>
        <w:ind w:firstLine="480" w:firstLineChars="200"/>
        <w:rPr>
          <w:rFonts w:hint="eastAsia" w:ascii="宋体" w:hAnsi="宋体"/>
          <w:sz w:val="24"/>
          <w:szCs w:val="20"/>
        </w:rPr>
      </w:pPr>
      <w:r>
        <w:rPr>
          <w:rFonts w:hint="eastAsia" w:ascii="宋体" w:hAnsi="宋体"/>
          <w:sz w:val="24"/>
          <w:szCs w:val="20"/>
        </w:rPr>
        <w:t>公司通过</w:t>
      </w:r>
      <w:r>
        <w:rPr>
          <w:rFonts w:hint="eastAsia" w:ascii="宋体" w:hAnsi="宋体"/>
          <w:sz w:val="24"/>
          <w:szCs w:val="20"/>
          <w:lang w:val="en-US" w:eastAsia="zh-CN"/>
        </w:rPr>
        <w:t>IATF16949:2016汽车</w:t>
      </w:r>
      <w:r>
        <w:rPr>
          <w:rFonts w:hint="eastAsia" w:ascii="宋体" w:hAnsi="宋体"/>
          <w:sz w:val="24"/>
          <w:szCs w:val="20"/>
        </w:rPr>
        <w:t>质量管理体系认证、ISO14001环境管理体系认证</w:t>
      </w:r>
      <w:r>
        <w:rPr>
          <w:rFonts w:hint="eastAsia" w:ascii="宋体" w:hAnsi="宋体"/>
          <w:sz w:val="24"/>
          <w:szCs w:val="20"/>
          <w:lang w:eastAsia="zh-CN"/>
        </w:rPr>
        <w:t>、</w:t>
      </w:r>
      <w:r>
        <w:rPr>
          <w:rFonts w:hint="eastAsia" w:ascii="宋体" w:hAnsi="宋体"/>
          <w:sz w:val="24"/>
          <w:szCs w:val="20"/>
          <w:lang w:val="en-US" w:eastAsia="zh-CN"/>
        </w:rPr>
        <w:t>ISO45001</w:t>
      </w:r>
      <w:r>
        <w:rPr>
          <w:rFonts w:hint="eastAsia" w:ascii="宋体" w:hAnsi="宋体"/>
          <w:sz w:val="24"/>
          <w:szCs w:val="20"/>
        </w:rPr>
        <w:t>职业健康安全管理体系</w:t>
      </w:r>
      <w:r>
        <w:rPr>
          <w:rFonts w:hint="eastAsia" w:ascii="宋体" w:hAnsi="宋体"/>
          <w:sz w:val="24"/>
          <w:szCs w:val="20"/>
          <w:lang w:eastAsia="zh-CN"/>
        </w:rPr>
        <w:t>认证</w:t>
      </w:r>
      <w:r>
        <w:rPr>
          <w:rFonts w:hint="eastAsia" w:ascii="宋体" w:hAnsi="宋体"/>
          <w:sz w:val="24"/>
          <w:szCs w:val="20"/>
          <w:lang w:val="en-US" w:eastAsia="zh-CN"/>
        </w:rPr>
        <w:t>，</w:t>
      </w:r>
      <w:r>
        <w:rPr>
          <w:rFonts w:hint="eastAsia" w:ascii="宋体" w:hAnsi="宋体"/>
          <w:sz w:val="24"/>
          <w:szCs w:val="20"/>
        </w:rPr>
        <w:t>通过产品质量的控制，对环境因素和职业健康风险源的识别，确定重大环境因素和影响员工职业健康的因素（危险源），设立目标指标和管理方案并分解至各部门，每月跟进计划的进展，制定控制和改进措施。</w:t>
      </w:r>
    </w:p>
    <w:p>
      <w:pPr>
        <w:adjustRightInd w:val="0"/>
        <w:spacing w:line="360" w:lineRule="auto"/>
        <w:ind w:firstLine="480" w:firstLineChars="200"/>
        <w:rPr>
          <w:rFonts w:hint="eastAsia" w:ascii="宋体" w:hAnsi="宋体"/>
          <w:sz w:val="24"/>
          <w:szCs w:val="20"/>
        </w:rPr>
      </w:pPr>
    </w:p>
    <w:bookmarkEnd w:id="40"/>
    <w:p>
      <w:pPr>
        <w:pStyle w:val="5"/>
        <w:adjustRightInd w:val="0"/>
        <w:spacing w:before="120" w:after="120"/>
        <w:rPr>
          <w:rFonts w:ascii="宋体" w:hAnsi="宋体"/>
          <w:szCs w:val="21"/>
        </w:rPr>
      </w:pPr>
      <w:r>
        <w:rPr>
          <w:rFonts w:hint="eastAsia" w:ascii="宋体" w:hAnsi="宋体"/>
          <w:szCs w:val="21"/>
        </w:rPr>
        <w:t>2.2 预见并应对隐忧</w:t>
      </w:r>
    </w:p>
    <w:p>
      <w:pPr>
        <w:adjustRightInd w:val="0"/>
        <w:spacing w:line="360" w:lineRule="auto"/>
        <w:ind w:firstLine="480" w:firstLineChars="200"/>
        <w:rPr>
          <w:rFonts w:ascii="宋体" w:hAnsi="宋体"/>
          <w:sz w:val="24"/>
          <w:szCs w:val="20"/>
        </w:rPr>
      </w:pPr>
      <w:r>
        <w:rPr>
          <w:rFonts w:ascii="宋体" w:hAnsi="宋体"/>
          <w:sz w:val="24"/>
          <w:szCs w:val="20"/>
        </w:rPr>
        <w:t>公司通过对顾客及相关方的市场调研，数据分析，政府访谈及顾客满意度调查等深入研究得出目前公众关注点主要是环保，节能，安全生产等方面。其中，环境保护越来越受到公众的关注。</w:t>
      </w:r>
    </w:p>
    <w:p>
      <w:pPr>
        <w:adjustRightInd w:val="0"/>
        <w:spacing w:line="360" w:lineRule="auto"/>
        <w:ind w:firstLine="480" w:firstLineChars="200"/>
        <w:rPr>
          <w:rFonts w:ascii="宋体" w:hAnsi="宋体"/>
          <w:sz w:val="24"/>
          <w:szCs w:val="20"/>
        </w:rPr>
      </w:pPr>
      <w:r>
        <w:rPr>
          <w:rFonts w:ascii="宋体" w:hAnsi="宋体"/>
          <w:sz w:val="24"/>
          <w:szCs w:val="20"/>
        </w:rPr>
        <w:t>公众隐忧，产生原因及措施见表</w:t>
      </w:r>
      <w:r>
        <w:rPr>
          <w:rFonts w:hint="eastAsia" w:ascii="宋体" w:hAnsi="宋体"/>
          <w:sz w:val="24"/>
          <w:szCs w:val="20"/>
        </w:rPr>
        <w:t>2.2-1</w:t>
      </w:r>
      <w:r>
        <w:rPr>
          <w:rFonts w:ascii="宋体" w:hAnsi="宋体"/>
          <w:sz w:val="24"/>
          <w:szCs w:val="20"/>
        </w:rPr>
        <w:t>。</w:t>
      </w:r>
    </w:p>
    <w:p>
      <w:pPr>
        <w:pStyle w:val="5"/>
        <w:adjustRightInd w:val="0"/>
        <w:spacing w:before="120" w:after="120"/>
        <w:rPr>
          <w:rFonts w:ascii="宋体" w:hAnsi="宋体"/>
          <w:szCs w:val="21"/>
        </w:rPr>
      </w:pPr>
      <w:r>
        <w:rPr>
          <w:rFonts w:hint="eastAsia" w:ascii="宋体" w:hAnsi="宋体"/>
          <w:szCs w:val="21"/>
        </w:rPr>
        <w:t>2.3 满足法律法规要求而采用的关键过程及绩效指标</w:t>
      </w:r>
    </w:p>
    <w:p>
      <w:pPr>
        <w:adjustRightInd w:val="0"/>
        <w:spacing w:line="360" w:lineRule="auto"/>
        <w:ind w:firstLine="420"/>
        <w:rPr>
          <w:rFonts w:ascii="宋体" w:hAnsi="宋体"/>
          <w:sz w:val="24"/>
          <w:szCs w:val="24"/>
        </w:rPr>
      </w:pPr>
      <w:r>
        <w:rPr>
          <w:rFonts w:ascii="宋体" w:hAnsi="宋体"/>
          <w:sz w:val="24"/>
          <w:szCs w:val="24"/>
        </w:rPr>
        <w:t>为满足运营过程中环境保护、能源消耗、资源综合利用、安全生产、产品安全和公共卫生等方面的要求，公司确定关键过程，测量方法和目标，并采取的相应的对策及测量方法等</w:t>
      </w:r>
      <w:r>
        <w:rPr>
          <w:rFonts w:hint="eastAsia" w:ascii="宋体" w:hAnsi="宋体"/>
          <w:sz w:val="24"/>
          <w:szCs w:val="24"/>
        </w:rPr>
        <w:t>，</w:t>
      </w:r>
      <w:r>
        <w:rPr>
          <w:rFonts w:ascii="宋体" w:hAnsi="宋体"/>
          <w:sz w:val="24"/>
          <w:szCs w:val="24"/>
        </w:rPr>
        <w:t>见</w:t>
      </w:r>
      <w:r>
        <w:rPr>
          <w:rFonts w:hint="eastAsia" w:ascii="宋体" w:hAnsi="宋体"/>
          <w:sz w:val="24"/>
          <w:szCs w:val="24"/>
        </w:rPr>
        <w:t>表2.3-1</w:t>
      </w:r>
      <w:r>
        <w:rPr>
          <w:rFonts w:ascii="宋体" w:hAnsi="宋体"/>
          <w:sz w:val="24"/>
          <w:szCs w:val="24"/>
        </w:rPr>
        <w:t>。</w:t>
      </w:r>
    </w:p>
    <w:p>
      <w:pPr>
        <w:pStyle w:val="12"/>
        <w:keepNext/>
        <w:adjustRightInd w:val="0"/>
        <w:spacing w:before="120" w:beforeLines="50" w:line="276" w:lineRule="auto"/>
        <w:jc w:val="center"/>
        <w:rPr>
          <w:rFonts w:ascii="宋体" w:hAnsi="宋体" w:eastAsia="宋体"/>
          <w:b/>
          <w:sz w:val="21"/>
          <w:szCs w:val="21"/>
        </w:rPr>
      </w:pPr>
      <w:bookmarkStart w:id="41" w:name="_Ref326704372"/>
      <w:r>
        <w:rPr>
          <w:rFonts w:hint="eastAsia" w:ascii="宋体" w:hAnsi="宋体" w:eastAsia="宋体"/>
          <w:b/>
          <w:sz w:val="21"/>
          <w:szCs w:val="21"/>
        </w:rPr>
        <w:t>表2.2-</w:t>
      </w:r>
      <w:bookmarkEnd w:id="41"/>
      <w:r>
        <w:rPr>
          <w:rFonts w:hint="eastAsia" w:ascii="宋体" w:hAnsi="宋体" w:eastAsia="宋体"/>
          <w:b/>
          <w:sz w:val="21"/>
          <w:szCs w:val="21"/>
        </w:rPr>
        <w:t xml:space="preserve">1 </w:t>
      </w:r>
      <w:r>
        <w:rPr>
          <w:rFonts w:ascii="宋体" w:hAnsi="宋体" w:eastAsia="宋体"/>
          <w:b/>
          <w:sz w:val="21"/>
          <w:szCs w:val="21"/>
        </w:rPr>
        <w:t>公众隐忧产生原因及措施</w:t>
      </w:r>
    </w:p>
    <w:tbl>
      <w:tblPr>
        <w:tblStyle w:val="37"/>
        <w:tblW w:w="90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1524"/>
        <w:gridCol w:w="2691"/>
        <w:gridCol w:w="4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trHeight w:val="20" w:hRule="atLeast"/>
          <w:tblHeader/>
          <w:jc w:val="center"/>
        </w:trPr>
        <w:tc>
          <w:tcPr>
            <w:tcW w:w="1524" w:type="dxa"/>
            <w:shd w:val="clear" w:color="auto" w:fill="C00000"/>
          </w:tcPr>
          <w:p>
            <w:pPr>
              <w:adjustRightInd w:val="0"/>
              <w:spacing w:line="276" w:lineRule="auto"/>
              <w:jc w:val="center"/>
              <w:rPr>
                <w:rFonts w:ascii="宋体" w:hAnsi="宋体"/>
                <w:b/>
                <w:color w:val="FFFFFF"/>
                <w:szCs w:val="18"/>
              </w:rPr>
            </w:pPr>
            <w:r>
              <w:rPr>
                <w:rFonts w:ascii="宋体" w:hAnsi="宋体"/>
                <w:b/>
                <w:color w:val="FFFFFF"/>
                <w:szCs w:val="18"/>
              </w:rPr>
              <w:t>公众隐忧</w:t>
            </w:r>
          </w:p>
        </w:tc>
        <w:tc>
          <w:tcPr>
            <w:tcW w:w="2691" w:type="dxa"/>
            <w:shd w:val="clear" w:color="auto" w:fill="C00000"/>
          </w:tcPr>
          <w:p>
            <w:pPr>
              <w:adjustRightInd w:val="0"/>
              <w:spacing w:line="276" w:lineRule="auto"/>
              <w:jc w:val="center"/>
              <w:rPr>
                <w:rFonts w:ascii="宋体" w:hAnsi="宋体"/>
                <w:b/>
                <w:color w:val="FFFFFF"/>
                <w:szCs w:val="18"/>
              </w:rPr>
            </w:pPr>
            <w:r>
              <w:rPr>
                <w:rFonts w:ascii="宋体" w:hAnsi="宋体"/>
                <w:b/>
                <w:color w:val="FFFFFF"/>
                <w:szCs w:val="18"/>
              </w:rPr>
              <w:t>产生原因</w:t>
            </w:r>
          </w:p>
        </w:tc>
        <w:tc>
          <w:tcPr>
            <w:tcW w:w="4834" w:type="dxa"/>
            <w:shd w:val="clear" w:color="auto" w:fill="C00000"/>
          </w:tcPr>
          <w:p>
            <w:pPr>
              <w:adjustRightInd w:val="0"/>
              <w:spacing w:line="276" w:lineRule="auto"/>
              <w:jc w:val="center"/>
              <w:rPr>
                <w:rFonts w:ascii="宋体" w:hAnsi="宋体"/>
                <w:b/>
                <w:color w:val="FFFFFF"/>
                <w:szCs w:val="18"/>
              </w:rPr>
            </w:pPr>
            <w:r>
              <w:rPr>
                <w:rFonts w:ascii="宋体" w:hAnsi="宋体"/>
                <w:b/>
                <w:color w:val="FFFFFF"/>
                <w:szCs w:val="18"/>
              </w:rPr>
              <w:t>应对措施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trHeight w:val="20" w:hRule="atLeast"/>
          <w:tblHeader/>
          <w:jc w:val="center"/>
        </w:trPr>
        <w:tc>
          <w:tcPr>
            <w:tcW w:w="1524" w:type="dxa"/>
            <w:shd w:val="clear" w:color="auto" w:fill="FFFFFF"/>
            <w:vAlign w:val="center"/>
          </w:tcPr>
          <w:p>
            <w:pPr>
              <w:adjustRightInd w:val="0"/>
              <w:spacing w:line="276" w:lineRule="auto"/>
              <w:jc w:val="center"/>
              <w:rPr>
                <w:rFonts w:ascii="宋体" w:hAnsi="宋体"/>
                <w:szCs w:val="18"/>
              </w:rPr>
            </w:pPr>
            <w:r>
              <w:rPr>
                <w:rFonts w:ascii="宋体" w:hAnsi="宋体"/>
                <w:szCs w:val="18"/>
              </w:rPr>
              <w:t>能源消耗</w:t>
            </w:r>
          </w:p>
        </w:tc>
        <w:tc>
          <w:tcPr>
            <w:tcW w:w="2691" w:type="dxa"/>
            <w:shd w:val="clear" w:color="auto" w:fill="FFFFFF"/>
            <w:vAlign w:val="center"/>
          </w:tcPr>
          <w:p>
            <w:pPr>
              <w:adjustRightInd w:val="0"/>
              <w:spacing w:line="276" w:lineRule="auto"/>
              <w:rPr>
                <w:rFonts w:ascii="宋体" w:hAnsi="宋体"/>
                <w:szCs w:val="18"/>
              </w:rPr>
            </w:pPr>
            <w:r>
              <w:rPr>
                <w:rFonts w:ascii="宋体" w:hAnsi="宋体"/>
                <w:szCs w:val="18"/>
              </w:rPr>
              <w:t>电力等资源紧缺，会造成能源价格上涨，导致产品成本提高等。</w:t>
            </w:r>
          </w:p>
        </w:tc>
        <w:tc>
          <w:tcPr>
            <w:tcW w:w="4834" w:type="dxa"/>
            <w:shd w:val="clear" w:color="auto" w:fill="FFFFFF"/>
          </w:tcPr>
          <w:p>
            <w:pPr>
              <w:adjustRightInd w:val="0"/>
              <w:spacing w:line="276" w:lineRule="auto"/>
              <w:rPr>
                <w:rFonts w:ascii="宋体" w:hAnsi="宋体"/>
                <w:szCs w:val="18"/>
              </w:rPr>
            </w:pPr>
            <w:r>
              <w:rPr>
                <w:rFonts w:ascii="宋体" w:hAnsi="宋体"/>
                <w:szCs w:val="18"/>
              </w:rPr>
              <w:t xml:space="preserve">1、导入清洁生产理念降低能源消耗；2、利用峰谷值用电，推广利用节能新技术、新材料、新设备、新工艺；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trHeight w:val="20" w:hRule="atLeast"/>
          <w:tblHeader/>
          <w:jc w:val="center"/>
        </w:trPr>
        <w:tc>
          <w:tcPr>
            <w:tcW w:w="1524" w:type="dxa"/>
            <w:shd w:val="clear" w:color="auto" w:fill="FFFFFF"/>
            <w:vAlign w:val="center"/>
          </w:tcPr>
          <w:p>
            <w:pPr>
              <w:adjustRightInd w:val="0"/>
              <w:spacing w:line="276" w:lineRule="auto"/>
              <w:jc w:val="center"/>
              <w:rPr>
                <w:rFonts w:ascii="宋体" w:hAnsi="宋体"/>
                <w:szCs w:val="18"/>
              </w:rPr>
            </w:pPr>
            <w:r>
              <w:rPr>
                <w:rFonts w:ascii="宋体" w:hAnsi="宋体"/>
                <w:szCs w:val="18"/>
              </w:rPr>
              <w:t>安全生产</w:t>
            </w:r>
          </w:p>
        </w:tc>
        <w:tc>
          <w:tcPr>
            <w:tcW w:w="2691" w:type="dxa"/>
            <w:shd w:val="clear" w:color="auto" w:fill="FFFFFF"/>
            <w:vAlign w:val="center"/>
          </w:tcPr>
          <w:p>
            <w:pPr>
              <w:adjustRightInd w:val="0"/>
              <w:spacing w:line="276" w:lineRule="auto"/>
              <w:rPr>
                <w:rFonts w:ascii="宋体" w:hAnsi="宋体"/>
                <w:szCs w:val="18"/>
              </w:rPr>
            </w:pPr>
            <w:r>
              <w:rPr>
                <w:rFonts w:ascii="宋体" w:hAnsi="宋体"/>
                <w:szCs w:val="18"/>
              </w:rPr>
              <w:t>火灾；危险品的燃烧、爆炸；电力的触电等安全隐患。</w:t>
            </w:r>
          </w:p>
        </w:tc>
        <w:tc>
          <w:tcPr>
            <w:tcW w:w="4834" w:type="dxa"/>
            <w:shd w:val="clear" w:color="auto" w:fill="FFFFFF"/>
          </w:tcPr>
          <w:p>
            <w:pPr>
              <w:adjustRightInd w:val="0"/>
              <w:spacing w:line="276" w:lineRule="auto"/>
              <w:rPr>
                <w:rFonts w:ascii="宋体" w:hAnsi="宋体"/>
                <w:szCs w:val="18"/>
              </w:rPr>
            </w:pPr>
            <w:r>
              <w:rPr>
                <w:rFonts w:ascii="宋体" w:hAnsi="宋体"/>
                <w:szCs w:val="18"/>
              </w:rPr>
              <w:t>1、严格执行《安全生产管理制度》，实行安全管理绩效考核；2、一旦发生突发事件立即启动《突发性事件应急预案》。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trHeight w:val="20" w:hRule="atLeast"/>
          <w:tblHeader/>
          <w:jc w:val="center"/>
        </w:trPr>
        <w:tc>
          <w:tcPr>
            <w:tcW w:w="1524" w:type="dxa"/>
            <w:shd w:val="clear" w:color="auto" w:fill="FFFFFF"/>
            <w:vAlign w:val="center"/>
          </w:tcPr>
          <w:p>
            <w:pPr>
              <w:adjustRightInd w:val="0"/>
              <w:spacing w:line="276" w:lineRule="auto"/>
              <w:jc w:val="center"/>
              <w:rPr>
                <w:rFonts w:ascii="宋体" w:hAnsi="宋体"/>
                <w:szCs w:val="18"/>
              </w:rPr>
            </w:pPr>
            <w:r>
              <w:rPr>
                <w:rFonts w:ascii="宋体" w:hAnsi="宋体"/>
                <w:szCs w:val="18"/>
              </w:rPr>
              <w:t>产品安全</w:t>
            </w:r>
          </w:p>
        </w:tc>
        <w:tc>
          <w:tcPr>
            <w:tcW w:w="2691" w:type="dxa"/>
            <w:shd w:val="clear" w:color="auto" w:fill="FFFFFF"/>
            <w:vAlign w:val="center"/>
          </w:tcPr>
          <w:p>
            <w:pPr>
              <w:adjustRightInd w:val="0"/>
              <w:spacing w:line="276" w:lineRule="auto"/>
              <w:rPr>
                <w:rFonts w:ascii="宋体" w:hAnsi="宋体"/>
                <w:szCs w:val="18"/>
              </w:rPr>
            </w:pPr>
            <w:r>
              <w:rPr>
                <w:rFonts w:ascii="宋体" w:hAnsi="宋体"/>
                <w:szCs w:val="18"/>
              </w:rPr>
              <w:t>火灾</w:t>
            </w:r>
            <w:r>
              <w:rPr>
                <w:rFonts w:hint="eastAsia" w:ascii="宋体" w:hAnsi="宋体"/>
                <w:szCs w:val="18"/>
              </w:rPr>
              <w:t>、</w:t>
            </w:r>
            <w:r>
              <w:rPr>
                <w:rFonts w:ascii="宋体" w:hAnsi="宋体"/>
                <w:szCs w:val="18"/>
              </w:rPr>
              <w:t>触电时直接关系到人的生命和财产安全</w:t>
            </w:r>
            <w:r>
              <w:rPr>
                <w:rFonts w:hint="eastAsia" w:ascii="宋体" w:hAnsi="宋体"/>
                <w:szCs w:val="18"/>
              </w:rPr>
              <w:t>；产品含有有害元素</w:t>
            </w:r>
          </w:p>
        </w:tc>
        <w:tc>
          <w:tcPr>
            <w:tcW w:w="4834" w:type="dxa"/>
            <w:shd w:val="clear" w:color="auto" w:fill="FFFFFF"/>
          </w:tcPr>
          <w:p>
            <w:pPr>
              <w:adjustRightInd w:val="0"/>
              <w:spacing w:line="276" w:lineRule="auto"/>
              <w:rPr>
                <w:rFonts w:ascii="宋体" w:hAnsi="宋体"/>
                <w:szCs w:val="18"/>
              </w:rPr>
            </w:pPr>
            <w:r>
              <w:rPr>
                <w:rFonts w:ascii="宋体" w:hAnsi="宋体"/>
                <w:szCs w:val="18"/>
              </w:rPr>
              <w:t>1、专门设立品质部。实施质量管理、实物质量监督和考核；2、通过各种认证体系；3、通过内部审核、管理评审、第三方跟踪审核，确保质量管理体系有效运行和持续改进等。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trHeight w:val="20" w:hRule="atLeast"/>
          <w:tblHeader/>
          <w:jc w:val="center"/>
        </w:trPr>
        <w:tc>
          <w:tcPr>
            <w:tcW w:w="1524" w:type="dxa"/>
            <w:shd w:val="clear" w:color="auto" w:fill="FFFFFF"/>
            <w:vAlign w:val="center"/>
          </w:tcPr>
          <w:p>
            <w:pPr>
              <w:adjustRightInd w:val="0"/>
              <w:spacing w:line="276" w:lineRule="auto"/>
              <w:jc w:val="center"/>
              <w:rPr>
                <w:rFonts w:ascii="宋体" w:hAnsi="宋体"/>
                <w:szCs w:val="18"/>
              </w:rPr>
            </w:pPr>
            <w:r>
              <w:rPr>
                <w:rFonts w:ascii="宋体" w:hAnsi="宋体"/>
                <w:szCs w:val="18"/>
              </w:rPr>
              <w:t>公共卫生</w:t>
            </w:r>
          </w:p>
        </w:tc>
        <w:tc>
          <w:tcPr>
            <w:tcW w:w="2691" w:type="dxa"/>
            <w:shd w:val="clear" w:color="auto" w:fill="FFFFFF"/>
            <w:vAlign w:val="center"/>
          </w:tcPr>
          <w:p>
            <w:pPr>
              <w:adjustRightInd w:val="0"/>
              <w:spacing w:line="276" w:lineRule="auto"/>
              <w:rPr>
                <w:rFonts w:ascii="宋体" w:hAnsi="宋体"/>
                <w:szCs w:val="18"/>
              </w:rPr>
            </w:pPr>
            <w:r>
              <w:rPr>
                <w:rFonts w:ascii="宋体" w:hAnsi="宋体"/>
                <w:szCs w:val="18"/>
              </w:rPr>
              <w:t>潜在职业病，生活垃圾，固废的污染等。</w:t>
            </w:r>
          </w:p>
        </w:tc>
        <w:tc>
          <w:tcPr>
            <w:tcW w:w="4834" w:type="dxa"/>
            <w:shd w:val="clear" w:color="auto" w:fill="FFFFFF"/>
          </w:tcPr>
          <w:p>
            <w:pPr>
              <w:adjustRightInd w:val="0"/>
              <w:spacing w:line="276" w:lineRule="auto"/>
              <w:rPr>
                <w:rFonts w:ascii="宋体" w:hAnsi="宋体"/>
                <w:szCs w:val="18"/>
              </w:rPr>
            </w:pPr>
            <w:r>
              <w:rPr>
                <w:rFonts w:ascii="宋体" w:hAnsi="宋体"/>
                <w:szCs w:val="18"/>
              </w:rPr>
              <w:t>1、公司规定垃圾集中收集运到垃圾中转站，由垃圾处理厂统一处理；2、污水纳入污水管网进公司处理站预处理后再纳入</w:t>
            </w:r>
            <w:r>
              <w:rPr>
                <w:rFonts w:hint="eastAsia" w:ascii="宋体" w:hAnsi="宋体"/>
                <w:szCs w:val="18"/>
              </w:rPr>
              <w:t>开发区</w:t>
            </w:r>
            <w:r>
              <w:rPr>
                <w:rFonts w:ascii="宋体" w:hAnsi="宋体"/>
                <w:szCs w:val="18"/>
              </w:rPr>
              <w:t>污水处理厂处理</w:t>
            </w:r>
            <w:r>
              <w:rPr>
                <w:rFonts w:hint="eastAsia" w:ascii="宋体" w:hAnsi="宋体"/>
                <w:szCs w:val="18"/>
              </w:rPr>
              <w:t>。</w:t>
            </w:r>
            <w:r>
              <w:rPr>
                <w:rFonts w:ascii="宋体" w:hAnsi="宋体"/>
                <w:szCs w:val="18"/>
              </w:rPr>
              <w:t xml:space="preserve"> </w:t>
            </w:r>
          </w:p>
        </w:tc>
      </w:tr>
    </w:tbl>
    <w:p>
      <w:pPr>
        <w:pStyle w:val="77"/>
        <w:spacing w:before="120"/>
        <w:rPr>
          <w:rFonts w:ascii="宋体" w:hAnsi="宋体"/>
        </w:rPr>
      </w:pPr>
      <w:r>
        <w:rPr>
          <w:rFonts w:hint="eastAsia" w:ascii="宋体" w:hAnsi="宋体"/>
        </w:rPr>
        <w:t>表2.3-1 公共责任方面的控制和改进措施</w:t>
      </w:r>
    </w:p>
    <w:tbl>
      <w:tblPr>
        <w:tblStyle w:val="37"/>
        <w:tblW w:w="88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5"/>
        <w:gridCol w:w="1083"/>
        <w:gridCol w:w="1977"/>
        <w:gridCol w:w="1337"/>
        <w:gridCol w:w="1406"/>
        <w:gridCol w:w="2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55" w:type="dxa"/>
            <w:shd w:val="clear" w:color="auto" w:fill="C00000"/>
            <w:tcMar>
              <w:left w:w="28" w:type="dxa"/>
              <w:right w:w="28" w:type="dxa"/>
            </w:tcMar>
            <w:vAlign w:val="center"/>
          </w:tcPr>
          <w:p>
            <w:pPr>
              <w:adjustRightInd w:val="0"/>
              <w:snapToGrid w:val="0"/>
              <w:spacing w:line="276" w:lineRule="auto"/>
              <w:jc w:val="center"/>
              <w:rPr>
                <w:rFonts w:ascii="宋体" w:hAnsi="宋体"/>
                <w:b/>
                <w:sz w:val="18"/>
                <w:szCs w:val="18"/>
              </w:rPr>
            </w:pPr>
            <w:r>
              <w:rPr>
                <w:rFonts w:hint="eastAsia" w:ascii="宋体" w:hAnsi="宋体"/>
                <w:b/>
                <w:sz w:val="18"/>
                <w:szCs w:val="18"/>
              </w:rPr>
              <w:t>关键过程</w:t>
            </w:r>
          </w:p>
        </w:tc>
        <w:tc>
          <w:tcPr>
            <w:tcW w:w="1083" w:type="dxa"/>
            <w:shd w:val="clear" w:color="auto" w:fill="C00000"/>
            <w:tcMar>
              <w:left w:w="28" w:type="dxa"/>
              <w:right w:w="28" w:type="dxa"/>
            </w:tcMar>
            <w:vAlign w:val="center"/>
          </w:tcPr>
          <w:p>
            <w:pPr>
              <w:adjustRightInd w:val="0"/>
              <w:snapToGrid w:val="0"/>
              <w:spacing w:line="276" w:lineRule="auto"/>
              <w:jc w:val="center"/>
              <w:rPr>
                <w:rFonts w:ascii="宋体" w:hAnsi="宋体"/>
                <w:b/>
                <w:sz w:val="18"/>
                <w:szCs w:val="18"/>
              </w:rPr>
            </w:pPr>
            <w:r>
              <w:rPr>
                <w:rFonts w:hint="eastAsia" w:ascii="宋体" w:hAnsi="宋体"/>
                <w:b/>
                <w:sz w:val="18"/>
                <w:szCs w:val="18"/>
              </w:rPr>
              <w:t>重大环境因素/危险源</w:t>
            </w:r>
          </w:p>
        </w:tc>
        <w:tc>
          <w:tcPr>
            <w:tcW w:w="1977" w:type="dxa"/>
            <w:shd w:val="clear" w:color="auto" w:fill="C00000"/>
            <w:tcMar>
              <w:left w:w="28" w:type="dxa"/>
              <w:right w:w="28" w:type="dxa"/>
            </w:tcMar>
            <w:vAlign w:val="center"/>
          </w:tcPr>
          <w:p>
            <w:pPr>
              <w:adjustRightInd w:val="0"/>
              <w:snapToGrid w:val="0"/>
              <w:spacing w:line="276" w:lineRule="auto"/>
              <w:jc w:val="center"/>
              <w:rPr>
                <w:rFonts w:ascii="宋体" w:hAnsi="宋体"/>
                <w:b/>
                <w:sz w:val="18"/>
                <w:szCs w:val="18"/>
              </w:rPr>
            </w:pPr>
            <w:r>
              <w:rPr>
                <w:rFonts w:hint="eastAsia" w:ascii="宋体" w:hAnsi="宋体"/>
                <w:b/>
                <w:sz w:val="18"/>
                <w:szCs w:val="18"/>
              </w:rPr>
              <w:t>法律法规要求</w:t>
            </w:r>
          </w:p>
        </w:tc>
        <w:tc>
          <w:tcPr>
            <w:tcW w:w="1337" w:type="dxa"/>
            <w:shd w:val="clear" w:color="auto" w:fill="C00000"/>
            <w:tcMar>
              <w:left w:w="28" w:type="dxa"/>
              <w:right w:w="28" w:type="dxa"/>
            </w:tcMar>
            <w:vAlign w:val="center"/>
          </w:tcPr>
          <w:p>
            <w:pPr>
              <w:adjustRightInd w:val="0"/>
              <w:snapToGrid w:val="0"/>
              <w:spacing w:line="276" w:lineRule="auto"/>
              <w:jc w:val="center"/>
              <w:rPr>
                <w:rFonts w:ascii="宋体" w:hAnsi="宋体"/>
                <w:b/>
                <w:sz w:val="18"/>
                <w:szCs w:val="18"/>
              </w:rPr>
            </w:pPr>
            <w:r>
              <w:rPr>
                <w:rFonts w:hint="eastAsia" w:ascii="宋体" w:hAnsi="宋体"/>
                <w:b/>
                <w:sz w:val="18"/>
                <w:szCs w:val="18"/>
              </w:rPr>
              <w:t>公司内控指标</w:t>
            </w:r>
          </w:p>
        </w:tc>
        <w:tc>
          <w:tcPr>
            <w:tcW w:w="1406" w:type="dxa"/>
            <w:shd w:val="clear" w:color="auto" w:fill="C00000"/>
            <w:tcMar>
              <w:left w:w="28" w:type="dxa"/>
              <w:right w:w="28" w:type="dxa"/>
            </w:tcMar>
            <w:vAlign w:val="center"/>
          </w:tcPr>
          <w:p>
            <w:pPr>
              <w:adjustRightInd w:val="0"/>
              <w:snapToGrid w:val="0"/>
              <w:spacing w:line="276" w:lineRule="auto"/>
              <w:jc w:val="center"/>
              <w:rPr>
                <w:rFonts w:ascii="宋体" w:hAnsi="宋体"/>
                <w:b/>
                <w:sz w:val="18"/>
                <w:szCs w:val="18"/>
              </w:rPr>
            </w:pPr>
            <w:r>
              <w:rPr>
                <w:rFonts w:hint="eastAsia" w:ascii="宋体" w:hAnsi="宋体"/>
                <w:b/>
                <w:sz w:val="18"/>
                <w:szCs w:val="18"/>
              </w:rPr>
              <w:t>测量方法</w:t>
            </w:r>
          </w:p>
        </w:tc>
        <w:tc>
          <w:tcPr>
            <w:tcW w:w="2631" w:type="dxa"/>
            <w:shd w:val="clear" w:color="auto" w:fill="C00000"/>
            <w:tcMar>
              <w:left w:w="28" w:type="dxa"/>
              <w:right w:w="28" w:type="dxa"/>
            </w:tcMar>
            <w:vAlign w:val="center"/>
          </w:tcPr>
          <w:p>
            <w:pPr>
              <w:adjustRightInd w:val="0"/>
              <w:snapToGrid w:val="0"/>
              <w:spacing w:line="276" w:lineRule="auto"/>
              <w:jc w:val="center"/>
              <w:rPr>
                <w:rFonts w:ascii="宋体" w:hAnsi="宋体"/>
                <w:b/>
                <w:sz w:val="18"/>
                <w:szCs w:val="18"/>
              </w:rPr>
            </w:pPr>
            <w:r>
              <w:rPr>
                <w:rFonts w:hint="eastAsia" w:ascii="宋体" w:hAnsi="宋体"/>
                <w:b/>
                <w:sz w:val="18"/>
                <w:szCs w:val="18"/>
              </w:rPr>
              <w:t>主要控制/改进措施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9" w:hRule="atLeast"/>
          <w:jc w:val="center"/>
        </w:trPr>
        <w:tc>
          <w:tcPr>
            <w:tcW w:w="455" w:type="dxa"/>
            <w:vMerge w:val="restart"/>
            <w:tcMar>
              <w:left w:w="28" w:type="dxa"/>
              <w:right w:w="28" w:type="dxa"/>
            </w:tcMar>
            <w:vAlign w:val="center"/>
          </w:tcPr>
          <w:p>
            <w:pPr>
              <w:adjustRightInd w:val="0"/>
              <w:snapToGrid w:val="0"/>
              <w:spacing w:line="276" w:lineRule="auto"/>
              <w:rPr>
                <w:rFonts w:ascii="宋体" w:hAnsi="宋体"/>
                <w:sz w:val="18"/>
                <w:szCs w:val="18"/>
              </w:rPr>
            </w:pPr>
            <w:r>
              <w:rPr>
                <w:rFonts w:hint="eastAsia" w:ascii="宋体" w:hAnsi="宋体"/>
                <w:sz w:val="18"/>
                <w:szCs w:val="18"/>
              </w:rPr>
              <w:t>环境保护</w:t>
            </w:r>
          </w:p>
        </w:tc>
        <w:tc>
          <w:tcPr>
            <w:tcW w:w="1083" w:type="dxa"/>
            <w:tcMar>
              <w:left w:w="28" w:type="dxa"/>
              <w:right w:w="28" w:type="dxa"/>
            </w:tcMar>
            <w:vAlign w:val="center"/>
          </w:tcPr>
          <w:p>
            <w:pPr>
              <w:adjustRightInd w:val="0"/>
              <w:snapToGrid w:val="0"/>
              <w:spacing w:before="120" w:beforeLines="50" w:after="120" w:afterLines="50"/>
              <w:jc w:val="center"/>
              <w:rPr>
                <w:rFonts w:ascii="宋体" w:hAnsi="宋体"/>
                <w:sz w:val="18"/>
                <w:szCs w:val="18"/>
              </w:rPr>
            </w:pPr>
            <w:r>
              <w:rPr>
                <w:rFonts w:ascii="宋体" w:hAnsi="宋体"/>
                <w:sz w:val="18"/>
                <w:szCs w:val="18"/>
              </w:rPr>
              <w:t>环境空气</w:t>
            </w:r>
          </w:p>
        </w:tc>
        <w:tc>
          <w:tcPr>
            <w:tcW w:w="1977" w:type="dxa"/>
            <w:tcMar>
              <w:left w:w="28" w:type="dxa"/>
              <w:right w:w="28" w:type="dxa"/>
            </w:tcMar>
            <w:vAlign w:val="center"/>
          </w:tcPr>
          <w:p>
            <w:pPr>
              <w:adjustRightInd w:val="0"/>
              <w:snapToGrid w:val="0"/>
              <w:jc w:val="center"/>
              <w:rPr>
                <w:rFonts w:ascii="宋体" w:hAnsi="宋体"/>
                <w:sz w:val="18"/>
                <w:szCs w:val="18"/>
              </w:rPr>
            </w:pPr>
            <w:r>
              <w:rPr>
                <w:rFonts w:ascii="宋体" w:hAnsi="宋体"/>
                <w:sz w:val="18"/>
                <w:szCs w:val="18"/>
              </w:rPr>
              <w:t>SO</w:t>
            </w:r>
            <w:r>
              <w:rPr>
                <w:rFonts w:ascii="宋体" w:hAnsi="宋体"/>
                <w:sz w:val="18"/>
                <w:szCs w:val="18"/>
                <w:vertAlign w:val="subscript"/>
              </w:rPr>
              <w:t>2</w:t>
            </w:r>
            <w:r>
              <w:rPr>
                <w:rFonts w:ascii="宋体" w:hAnsi="宋体"/>
                <w:sz w:val="18"/>
                <w:szCs w:val="18"/>
              </w:rPr>
              <w:t>：年平均0.06，日平均0.15，每小时平均0.50</w:t>
            </w:r>
          </w:p>
          <w:p>
            <w:pPr>
              <w:adjustRightInd w:val="0"/>
              <w:snapToGrid w:val="0"/>
              <w:jc w:val="center"/>
              <w:rPr>
                <w:rFonts w:ascii="宋体" w:hAnsi="宋体"/>
                <w:sz w:val="18"/>
                <w:szCs w:val="18"/>
              </w:rPr>
            </w:pPr>
            <w:r>
              <w:rPr>
                <w:rFonts w:ascii="宋体" w:hAnsi="宋体"/>
                <w:sz w:val="18"/>
                <w:szCs w:val="18"/>
              </w:rPr>
              <w:t>TSP：年平均0.2，日平均0.30</w:t>
            </w:r>
          </w:p>
          <w:p>
            <w:pPr>
              <w:adjustRightInd w:val="0"/>
              <w:snapToGrid w:val="0"/>
              <w:jc w:val="center"/>
              <w:rPr>
                <w:rFonts w:ascii="宋体" w:hAnsi="宋体"/>
                <w:sz w:val="18"/>
                <w:szCs w:val="18"/>
              </w:rPr>
            </w:pPr>
            <w:r>
              <w:rPr>
                <w:rFonts w:ascii="宋体" w:hAnsi="宋体"/>
                <w:sz w:val="18"/>
                <w:szCs w:val="18"/>
              </w:rPr>
              <w:t>NO</w:t>
            </w:r>
            <w:r>
              <w:rPr>
                <w:rFonts w:ascii="宋体" w:hAnsi="宋体"/>
                <w:sz w:val="18"/>
                <w:szCs w:val="18"/>
                <w:vertAlign w:val="subscript"/>
              </w:rPr>
              <w:t>2</w:t>
            </w:r>
            <w:r>
              <w:rPr>
                <w:rFonts w:ascii="宋体" w:hAnsi="宋体"/>
                <w:sz w:val="18"/>
                <w:szCs w:val="18"/>
              </w:rPr>
              <w:t>：年平均0.08，日平均0.12，每小时平均0.24</w:t>
            </w:r>
          </w:p>
          <w:p>
            <w:pPr>
              <w:adjustRightInd w:val="0"/>
              <w:snapToGrid w:val="0"/>
              <w:jc w:val="center"/>
              <w:rPr>
                <w:rFonts w:ascii="宋体" w:hAnsi="宋体"/>
                <w:sz w:val="18"/>
                <w:szCs w:val="18"/>
              </w:rPr>
            </w:pPr>
            <w:r>
              <w:rPr>
                <w:rFonts w:ascii="宋体" w:hAnsi="宋体"/>
                <w:sz w:val="18"/>
                <w:szCs w:val="18"/>
              </w:rPr>
              <w:t>CO</w:t>
            </w:r>
            <w:r>
              <w:rPr>
                <w:rFonts w:ascii="宋体" w:hAnsi="宋体"/>
                <w:sz w:val="18"/>
                <w:szCs w:val="18"/>
                <w:vertAlign w:val="subscript"/>
              </w:rPr>
              <w:t>2</w:t>
            </w:r>
            <w:r>
              <w:rPr>
                <w:rFonts w:ascii="宋体" w:hAnsi="宋体"/>
                <w:sz w:val="18"/>
                <w:szCs w:val="18"/>
              </w:rPr>
              <w:t>：日平均4.00，每小时平均10.00</w:t>
            </w:r>
          </w:p>
        </w:tc>
        <w:tc>
          <w:tcPr>
            <w:tcW w:w="1337" w:type="dxa"/>
            <w:tcMar>
              <w:left w:w="28" w:type="dxa"/>
              <w:right w:w="28" w:type="dxa"/>
            </w:tcMar>
            <w:vAlign w:val="center"/>
          </w:tcPr>
          <w:p>
            <w:pPr>
              <w:adjustRightInd w:val="0"/>
              <w:snapToGrid w:val="0"/>
              <w:jc w:val="center"/>
              <w:rPr>
                <w:rFonts w:ascii="宋体" w:hAnsi="宋体"/>
                <w:sz w:val="18"/>
                <w:szCs w:val="18"/>
              </w:rPr>
            </w:pPr>
            <w:r>
              <w:rPr>
                <w:rFonts w:ascii="宋体" w:hAnsi="宋体"/>
                <w:sz w:val="18"/>
                <w:szCs w:val="18"/>
              </w:rPr>
              <w:t>同左</w:t>
            </w:r>
          </w:p>
        </w:tc>
        <w:tc>
          <w:tcPr>
            <w:tcW w:w="1406" w:type="dxa"/>
            <w:tcMar>
              <w:left w:w="28" w:type="dxa"/>
              <w:right w:w="28" w:type="dxa"/>
            </w:tcMar>
            <w:vAlign w:val="center"/>
          </w:tcPr>
          <w:p>
            <w:pPr>
              <w:adjustRightInd w:val="0"/>
              <w:snapToGrid w:val="0"/>
              <w:rPr>
                <w:rFonts w:ascii="Times New Roman" w:hAnsi="Times New Roman"/>
                <w:sz w:val="18"/>
                <w:szCs w:val="21"/>
              </w:rPr>
            </w:pPr>
            <w:r>
              <w:rPr>
                <w:rFonts w:ascii="Times New Roman" w:hAnsi="宋体"/>
                <w:sz w:val="18"/>
                <w:szCs w:val="21"/>
              </w:rPr>
              <w:t>委托具有相关资质的单位进行监测，</w:t>
            </w:r>
            <w:r>
              <w:rPr>
                <w:rFonts w:ascii="Times New Roman" w:hAnsi="Times New Roman"/>
                <w:sz w:val="18"/>
                <w:szCs w:val="21"/>
              </w:rPr>
              <w:t>1</w:t>
            </w:r>
            <w:r>
              <w:rPr>
                <w:rFonts w:ascii="Times New Roman" w:hAnsi="宋体"/>
                <w:sz w:val="18"/>
                <w:szCs w:val="21"/>
              </w:rPr>
              <w:t>次</w:t>
            </w:r>
            <w:r>
              <w:rPr>
                <w:rFonts w:ascii="Times New Roman" w:hAnsi="Times New Roman"/>
                <w:sz w:val="18"/>
                <w:szCs w:val="21"/>
              </w:rPr>
              <w:t>/</w:t>
            </w:r>
            <w:r>
              <w:rPr>
                <w:rFonts w:ascii="Times New Roman" w:hAnsi="宋体"/>
                <w:sz w:val="18"/>
                <w:szCs w:val="21"/>
              </w:rPr>
              <w:t>年。</w:t>
            </w:r>
          </w:p>
        </w:tc>
        <w:tc>
          <w:tcPr>
            <w:tcW w:w="2631" w:type="dxa"/>
            <w:tcMar>
              <w:left w:w="28" w:type="dxa"/>
              <w:right w:w="28" w:type="dxa"/>
            </w:tcMar>
            <w:vAlign w:val="center"/>
          </w:tcPr>
          <w:p>
            <w:pPr>
              <w:adjustRightInd w:val="0"/>
              <w:snapToGrid w:val="0"/>
              <w:spacing w:line="276" w:lineRule="auto"/>
              <w:rPr>
                <w:rFonts w:ascii="宋体" w:hAnsi="宋体"/>
                <w:sz w:val="18"/>
                <w:szCs w:val="18"/>
              </w:rPr>
            </w:pPr>
            <w:r>
              <w:rPr>
                <w:rFonts w:hint="eastAsia" w:ascii="宋体" w:hAnsi="宋体"/>
                <w:sz w:val="18"/>
                <w:szCs w:val="18"/>
              </w:rPr>
              <w:t>佩戴防护用品、做好个人防护。</w:t>
            </w:r>
          </w:p>
          <w:p>
            <w:pPr>
              <w:adjustRightInd w:val="0"/>
              <w:snapToGrid w:val="0"/>
              <w:spacing w:before="120" w:beforeLines="50" w:after="120" w:afterLines="50"/>
              <w:rPr>
                <w:rFonts w:ascii="宋体" w:hAnsi="宋体"/>
                <w:sz w:val="18"/>
                <w:szCs w:val="18"/>
              </w:rPr>
            </w:pPr>
            <w:r>
              <w:rPr>
                <w:rFonts w:hint="eastAsia" w:ascii="宋体" w:hAnsi="宋体"/>
                <w:sz w:val="18"/>
                <w:szCs w:val="18"/>
              </w:rPr>
              <w:t>每年健康体检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9" w:hRule="atLeast"/>
          <w:jc w:val="center"/>
        </w:trPr>
        <w:tc>
          <w:tcPr>
            <w:tcW w:w="455" w:type="dxa"/>
            <w:vMerge w:val="continue"/>
            <w:tcMar>
              <w:left w:w="28" w:type="dxa"/>
              <w:right w:w="28" w:type="dxa"/>
            </w:tcMar>
            <w:vAlign w:val="center"/>
          </w:tcPr>
          <w:p>
            <w:pPr>
              <w:adjustRightInd w:val="0"/>
              <w:snapToGrid w:val="0"/>
              <w:spacing w:line="276" w:lineRule="auto"/>
              <w:rPr>
                <w:rFonts w:ascii="宋体" w:hAnsi="宋体"/>
                <w:sz w:val="18"/>
                <w:szCs w:val="18"/>
              </w:rPr>
            </w:pPr>
          </w:p>
        </w:tc>
        <w:tc>
          <w:tcPr>
            <w:tcW w:w="1083" w:type="dxa"/>
            <w:tcMar>
              <w:left w:w="28" w:type="dxa"/>
              <w:right w:w="28" w:type="dxa"/>
            </w:tcMar>
            <w:vAlign w:val="center"/>
          </w:tcPr>
          <w:p>
            <w:pPr>
              <w:adjustRightInd w:val="0"/>
              <w:snapToGrid w:val="0"/>
              <w:spacing w:before="120" w:beforeLines="50" w:after="120" w:afterLines="50"/>
              <w:jc w:val="center"/>
              <w:rPr>
                <w:rFonts w:ascii="宋体" w:hAnsi="宋体"/>
                <w:sz w:val="18"/>
                <w:szCs w:val="18"/>
              </w:rPr>
            </w:pPr>
            <w:r>
              <w:rPr>
                <w:rFonts w:ascii="宋体" w:hAnsi="宋体"/>
                <w:sz w:val="18"/>
                <w:szCs w:val="18"/>
              </w:rPr>
              <w:t>厂界噪声</w:t>
            </w:r>
          </w:p>
        </w:tc>
        <w:tc>
          <w:tcPr>
            <w:tcW w:w="1977" w:type="dxa"/>
            <w:tcMar>
              <w:left w:w="28" w:type="dxa"/>
              <w:right w:w="28" w:type="dxa"/>
            </w:tcMar>
            <w:vAlign w:val="center"/>
          </w:tcPr>
          <w:p>
            <w:pPr>
              <w:adjustRightInd w:val="0"/>
              <w:snapToGrid w:val="0"/>
              <w:jc w:val="center"/>
              <w:rPr>
                <w:rFonts w:ascii="宋体" w:hAnsi="宋体"/>
                <w:sz w:val="18"/>
                <w:szCs w:val="18"/>
              </w:rPr>
            </w:pPr>
            <w:r>
              <w:rPr>
                <w:rFonts w:ascii="宋体" w:hAnsi="宋体"/>
                <w:sz w:val="18"/>
                <w:szCs w:val="18"/>
              </w:rPr>
              <w:t>≤65dB（昼间）</w:t>
            </w:r>
          </w:p>
          <w:p>
            <w:pPr>
              <w:adjustRightInd w:val="0"/>
              <w:snapToGrid w:val="0"/>
              <w:jc w:val="center"/>
              <w:rPr>
                <w:rFonts w:ascii="宋体" w:hAnsi="宋体"/>
                <w:sz w:val="18"/>
                <w:szCs w:val="18"/>
              </w:rPr>
            </w:pPr>
            <w:r>
              <w:rPr>
                <w:rFonts w:ascii="宋体" w:hAnsi="宋体"/>
                <w:sz w:val="18"/>
                <w:szCs w:val="18"/>
              </w:rPr>
              <w:t>≤55dB（夜间）</w:t>
            </w:r>
          </w:p>
        </w:tc>
        <w:tc>
          <w:tcPr>
            <w:tcW w:w="1337" w:type="dxa"/>
            <w:tcMar>
              <w:left w:w="28" w:type="dxa"/>
              <w:right w:w="28" w:type="dxa"/>
            </w:tcMar>
            <w:vAlign w:val="center"/>
          </w:tcPr>
          <w:p>
            <w:pPr>
              <w:adjustRightInd w:val="0"/>
              <w:snapToGrid w:val="0"/>
              <w:jc w:val="center"/>
              <w:rPr>
                <w:rFonts w:ascii="宋体" w:hAnsi="宋体"/>
                <w:sz w:val="18"/>
                <w:szCs w:val="18"/>
              </w:rPr>
            </w:pPr>
            <w:r>
              <w:rPr>
                <w:rFonts w:ascii="宋体" w:hAnsi="宋体"/>
                <w:sz w:val="18"/>
                <w:szCs w:val="18"/>
              </w:rPr>
              <w:t>同左</w:t>
            </w:r>
          </w:p>
        </w:tc>
        <w:tc>
          <w:tcPr>
            <w:tcW w:w="1406" w:type="dxa"/>
            <w:tcMar>
              <w:left w:w="28" w:type="dxa"/>
              <w:right w:w="28" w:type="dxa"/>
            </w:tcMar>
            <w:vAlign w:val="center"/>
          </w:tcPr>
          <w:p>
            <w:pPr>
              <w:adjustRightInd w:val="0"/>
              <w:snapToGrid w:val="0"/>
              <w:rPr>
                <w:rFonts w:ascii="Times New Roman" w:hAnsi="Times New Roman"/>
                <w:sz w:val="18"/>
                <w:szCs w:val="21"/>
              </w:rPr>
            </w:pPr>
            <w:r>
              <w:rPr>
                <w:rFonts w:ascii="Times New Roman" w:hAnsi="宋体"/>
                <w:sz w:val="18"/>
                <w:szCs w:val="21"/>
              </w:rPr>
              <w:t>委托具有相关资质的单位进行监测，</w:t>
            </w:r>
            <w:r>
              <w:rPr>
                <w:rFonts w:ascii="Times New Roman" w:hAnsi="Times New Roman"/>
                <w:sz w:val="18"/>
                <w:szCs w:val="21"/>
              </w:rPr>
              <w:t>1</w:t>
            </w:r>
            <w:r>
              <w:rPr>
                <w:rFonts w:ascii="Times New Roman" w:hAnsi="宋体"/>
                <w:sz w:val="18"/>
                <w:szCs w:val="21"/>
              </w:rPr>
              <w:t>次</w:t>
            </w:r>
            <w:r>
              <w:rPr>
                <w:rFonts w:ascii="Times New Roman" w:hAnsi="Times New Roman"/>
                <w:sz w:val="18"/>
                <w:szCs w:val="21"/>
              </w:rPr>
              <w:t>/</w:t>
            </w:r>
            <w:r>
              <w:rPr>
                <w:rFonts w:ascii="Times New Roman" w:hAnsi="宋体"/>
                <w:sz w:val="18"/>
                <w:szCs w:val="21"/>
              </w:rPr>
              <w:t>年。</w:t>
            </w:r>
          </w:p>
        </w:tc>
        <w:tc>
          <w:tcPr>
            <w:tcW w:w="2631" w:type="dxa"/>
            <w:tcMar>
              <w:left w:w="28" w:type="dxa"/>
              <w:right w:w="28" w:type="dxa"/>
            </w:tcMar>
            <w:vAlign w:val="center"/>
          </w:tcPr>
          <w:p>
            <w:pPr>
              <w:adjustRightInd w:val="0"/>
              <w:snapToGrid w:val="0"/>
              <w:spacing w:line="276" w:lineRule="auto"/>
              <w:rPr>
                <w:rFonts w:ascii="宋体" w:hAnsi="宋体"/>
                <w:sz w:val="18"/>
                <w:szCs w:val="18"/>
              </w:rPr>
            </w:pPr>
            <w:r>
              <w:rPr>
                <w:rFonts w:hint="eastAsia" w:ascii="宋体" w:hAnsi="宋体"/>
                <w:sz w:val="18"/>
                <w:szCs w:val="18"/>
              </w:rPr>
              <w:t>佩戴耳塞、做好个人防护。</w:t>
            </w:r>
          </w:p>
          <w:p>
            <w:pPr>
              <w:adjustRightInd w:val="0"/>
              <w:snapToGrid w:val="0"/>
              <w:spacing w:before="120" w:beforeLines="50" w:after="120" w:afterLines="50"/>
              <w:rPr>
                <w:rFonts w:ascii="宋体" w:hAnsi="宋体"/>
                <w:sz w:val="18"/>
                <w:szCs w:val="18"/>
              </w:rPr>
            </w:pPr>
            <w:r>
              <w:rPr>
                <w:rFonts w:hint="eastAsia" w:ascii="宋体" w:hAnsi="宋体"/>
                <w:sz w:val="18"/>
                <w:szCs w:val="18"/>
              </w:rPr>
              <w:t>每年健康体检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5" w:type="dxa"/>
            <w:vMerge w:val="continue"/>
            <w:tcMar>
              <w:left w:w="28" w:type="dxa"/>
              <w:right w:w="28" w:type="dxa"/>
            </w:tcMar>
            <w:vAlign w:val="center"/>
          </w:tcPr>
          <w:p>
            <w:pPr>
              <w:adjustRightInd w:val="0"/>
              <w:snapToGrid w:val="0"/>
              <w:spacing w:line="276" w:lineRule="auto"/>
              <w:rPr>
                <w:rFonts w:ascii="宋体" w:hAnsi="宋体"/>
                <w:sz w:val="18"/>
                <w:szCs w:val="18"/>
              </w:rPr>
            </w:pPr>
          </w:p>
        </w:tc>
        <w:tc>
          <w:tcPr>
            <w:tcW w:w="1083" w:type="dxa"/>
            <w:tcMar>
              <w:left w:w="28" w:type="dxa"/>
              <w:right w:w="28" w:type="dxa"/>
            </w:tcMar>
            <w:vAlign w:val="center"/>
          </w:tcPr>
          <w:p>
            <w:pPr>
              <w:adjustRightInd w:val="0"/>
              <w:snapToGrid w:val="0"/>
              <w:spacing w:before="120" w:beforeLines="50" w:after="120" w:afterLines="50"/>
              <w:jc w:val="center"/>
              <w:rPr>
                <w:rFonts w:ascii="宋体" w:hAnsi="宋体"/>
                <w:sz w:val="18"/>
                <w:szCs w:val="18"/>
              </w:rPr>
            </w:pPr>
            <w:r>
              <w:rPr>
                <w:rFonts w:ascii="宋体" w:hAnsi="宋体"/>
                <w:sz w:val="18"/>
                <w:szCs w:val="18"/>
              </w:rPr>
              <w:t>固废</w:t>
            </w:r>
          </w:p>
        </w:tc>
        <w:tc>
          <w:tcPr>
            <w:tcW w:w="1977" w:type="dxa"/>
            <w:tcMar>
              <w:left w:w="28" w:type="dxa"/>
              <w:right w:w="28" w:type="dxa"/>
            </w:tcMar>
            <w:vAlign w:val="center"/>
          </w:tcPr>
          <w:p>
            <w:pPr>
              <w:adjustRightInd w:val="0"/>
              <w:snapToGrid w:val="0"/>
              <w:rPr>
                <w:rFonts w:ascii="宋体" w:hAnsi="宋体"/>
                <w:sz w:val="18"/>
                <w:szCs w:val="18"/>
              </w:rPr>
            </w:pPr>
            <w:r>
              <w:rPr>
                <w:rFonts w:ascii="宋体" w:hAnsi="宋体"/>
                <w:sz w:val="18"/>
                <w:szCs w:val="18"/>
              </w:rPr>
              <w:t>制定废物管理计划，制定意外事故的防范措施和应急预案；不得擅自倾倒、堆放。</w:t>
            </w:r>
          </w:p>
        </w:tc>
        <w:tc>
          <w:tcPr>
            <w:tcW w:w="1337" w:type="dxa"/>
            <w:tcMar>
              <w:left w:w="28" w:type="dxa"/>
              <w:right w:w="28" w:type="dxa"/>
            </w:tcMar>
            <w:vAlign w:val="center"/>
          </w:tcPr>
          <w:p>
            <w:pPr>
              <w:adjustRightInd w:val="0"/>
              <w:snapToGrid w:val="0"/>
              <w:jc w:val="center"/>
              <w:rPr>
                <w:rFonts w:ascii="宋体" w:hAnsi="宋体"/>
                <w:sz w:val="18"/>
                <w:szCs w:val="18"/>
              </w:rPr>
            </w:pPr>
            <w:r>
              <w:rPr>
                <w:rFonts w:ascii="宋体" w:hAnsi="宋体"/>
                <w:sz w:val="18"/>
                <w:szCs w:val="18"/>
              </w:rPr>
              <w:t>严格执行法律法规要求</w:t>
            </w:r>
          </w:p>
        </w:tc>
        <w:tc>
          <w:tcPr>
            <w:tcW w:w="1406" w:type="dxa"/>
            <w:tcMar>
              <w:left w:w="28" w:type="dxa"/>
              <w:right w:w="28" w:type="dxa"/>
            </w:tcMar>
            <w:vAlign w:val="center"/>
          </w:tcPr>
          <w:p>
            <w:pPr>
              <w:adjustRightInd w:val="0"/>
              <w:snapToGrid w:val="0"/>
              <w:rPr>
                <w:rFonts w:ascii="Times New Roman" w:hAnsi="Times New Roman"/>
                <w:sz w:val="18"/>
                <w:szCs w:val="21"/>
              </w:rPr>
            </w:pPr>
            <w:r>
              <w:rPr>
                <w:rFonts w:ascii="Times New Roman" w:hAnsi="宋体"/>
                <w:sz w:val="18"/>
                <w:szCs w:val="21"/>
              </w:rPr>
              <w:t>生活垃圾由环卫公司统一收集</w:t>
            </w:r>
          </w:p>
          <w:p>
            <w:pPr>
              <w:adjustRightInd w:val="0"/>
              <w:snapToGrid w:val="0"/>
              <w:rPr>
                <w:rFonts w:ascii="Times New Roman" w:hAnsi="Times New Roman"/>
                <w:sz w:val="18"/>
                <w:szCs w:val="21"/>
              </w:rPr>
            </w:pPr>
            <w:r>
              <w:rPr>
                <w:rFonts w:ascii="Times New Roman" w:hAnsi="宋体"/>
                <w:sz w:val="18"/>
                <w:szCs w:val="21"/>
              </w:rPr>
              <w:t>生产固废主要为记忆棉切割成型过程中的记忆棉碎片</w:t>
            </w:r>
            <w:r>
              <w:rPr>
                <w:rFonts w:hint="eastAsia" w:ascii="Times New Roman" w:hAnsi="宋体"/>
                <w:sz w:val="18"/>
                <w:szCs w:val="21"/>
              </w:rPr>
              <w:t>。主要处理方式为1、生产记忆棉颗粒状2、销售给其他生产企业作为原料。</w:t>
            </w:r>
          </w:p>
        </w:tc>
        <w:tc>
          <w:tcPr>
            <w:tcW w:w="2631" w:type="dxa"/>
            <w:tcMar>
              <w:left w:w="28" w:type="dxa"/>
              <w:right w:w="28" w:type="dxa"/>
            </w:tcMar>
            <w:vAlign w:val="center"/>
          </w:tcPr>
          <w:p>
            <w:pPr>
              <w:adjustRightInd w:val="0"/>
              <w:snapToGrid w:val="0"/>
              <w:rPr>
                <w:rFonts w:ascii="Times New Roman" w:hAnsi="Times New Roman"/>
                <w:sz w:val="18"/>
                <w:szCs w:val="21"/>
              </w:rPr>
            </w:pPr>
            <w:r>
              <w:rPr>
                <w:rFonts w:ascii="Times New Roman" w:hAnsi="宋体"/>
                <w:sz w:val="18"/>
                <w:szCs w:val="21"/>
              </w:rPr>
              <w:t>生活垃圾由环卫公司统一收集</w:t>
            </w:r>
          </w:p>
          <w:p>
            <w:pPr>
              <w:adjustRightInd w:val="0"/>
              <w:snapToGrid w:val="0"/>
              <w:spacing w:before="120" w:beforeLines="50" w:after="120" w:afterLines="50"/>
              <w:jc w:val="center"/>
              <w:rPr>
                <w:rFonts w:ascii="宋体" w:hAnsi="宋体"/>
                <w:sz w:val="18"/>
                <w:szCs w:val="18"/>
              </w:rPr>
            </w:pPr>
            <w:r>
              <w:rPr>
                <w:rFonts w:ascii="Times New Roman" w:hAnsi="宋体"/>
                <w:sz w:val="18"/>
                <w:szCs w:val="21"/>
              </w:rPr>
              <w:t>生产固废主要为记忆棉切割成型过程中的记忆棉碎片</w:t>
            </w:r>
            <w:r>
              <w:rPr>
                <w:rFonts w:hint="eastAsia" w:ascii="Times New Roman" w:hAnsi="宋体"/>
                <w:sz w:val="18"/>
                <w:szCs w:val="21"/>
              </w:rPr>
              <w:t>。主要处理方式为1、生产记忆棉颗粒状2、销售给其他生产企业作为原料。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2" w:hRule="atLeast"/>
          <w:jc w:val="center"/>
        </w:trPr>
        <w:tc>
          <w:tcPr>
            <w:tcW w:w="455" w:type="dxa"/>
            <w:tcMar>
              <w:left w:w="28" w:type="dxa"/>
              <w:right w:w="28" w:type="dxa"/>
            </w:tcMar>
            <w:vAlign w:val="center"/>
          </w:tcPr>
          <w:p>
            <w:pPr>
              <w:adjustRightInd w:val="0"/>
              <w:snapToGrid w:val="0"/>
              <w:spacing w:line="276" w:lineRule="auto"/>
              <w:rPr>
                <w:rFonts w:ascii="宋体" w:hAnsi="宋体"/>
                <w:sz w:val="18"/>
                <w:szCs w:val="18"/>
              </w:rPr>
            </w:pPr>
            <w:r>
              <w:rPr>
                <w:rFonts w:hint="eastAsia" w:ascii="宋体" w:hAnsi="宋体"/>
                <w:sz w:val="18"/>
                <w:szCs w:val="18"/>
              </w:rPr>
              <w:t>安全</w:t>
            </w:r>
          </w:p>
          <w:p>
            <w:pPr>
              <w:adjustRightInd w:val="0"/>
              <w:snapToGrid w:val="0"/>
              <w:spacing w:line="276" w:lineRule="auto"/>
              <w:rPr>
                <w:rFonts w:ascii="宋体" w:hAnsi="宋体"/>
                <w:sz w:val="18"/>
                <w:szCs w:val="18"/>
              </w:rPr>
            </w:pPr>
            <w:r>
              <w:rPr>
                <w:rFonts w:hint="eastAsia" w:ascii="宋体" w:hAnsi="宋体"/>
                <w:sz w:val="18"/>
                <w:szCs w:val="18"/>
              </w:rPr>
              <w:t>生产</w:t>
            </w:r>
          </w:p>
        </w:tc>
        <w:tc>
          <w:tcPr>
            <w:tcW w:w="1083" w:type="dxa"/>
            <w:tcMar>
              <w:left w:w="28" w:type="dxa"/>
              <w:right w:w="28" w:type="dxa"/>
            </w:tcMar>
            <w:vAlign w:val="center"/>
          </w:tcPr>
          <w:p>
            <w:pPr>
              <w:adjustRightInd w:val="0"/>
              <w:snapToGrid w:val="0"/>
              <w:spacing w:line="276" w:lineRule="auto"/>
              <w:rPr>
                <w:rFonts w:ascii="宋体" w:hAnsi="宋体"/>
                <w:color w:val="000000"/>
                <w:sz w:val="18"/>
                <w:szCs w:val="18"/>
              </w:rPr>
            </w:pPr>
            <w:r>
              <w:rPr>
                <w:rFonts w:hint="eastAsia" w:ascii="宋体" w:hAnsi="宋体"/>
                <w:color w:val="000000"/>
                <w:sz w:val="18"/>
                <w:szCs w:val="18"/>
              </w:rPr>
              <w:t>工伤和火灾事故</w:t>
            </w:r>
          </w:p>
        </w:tc>
        <w:tc>
          <w:tcPr>
            <w:tcW w:w="1977" w:type="dxa"/>
            <w:tcMar>
              <w:left w:w="28" w:type="dxa"/>
              <w:right w:w="28" w:type="dxa"/>
            </w:tcMar>
            <w:vAlign w:val="center"/>
          </w:tcPr>
          <w:p>
            <w:pPr>
              <w:adjustRightInd w:val="0"/>
              <w:snapToGrid w:val="0"/>
              <w:spacing w:line="276" w:lineRule="auto"/>
              <w:rPr>
                <w:rFonts w:ascii="宋体" w:hAnsi="宋体"/>
                <w:color w:val="000000"/>
                <w:sz w:val="18"/>
                <w:szCs w:val="18"/>
              </w:rPr>
            </w:pPr>
            <w:r>
              <w:rPr>
                <w:rFonts w:hint="eastAsia" w:ascii="宋体" w:hAnsi="宋体"/>
                <w:color w:val="000000"/>
                <w:sz w:val="18"/>
                <w:szCs w:val="18"/>
              </w:rPr>
              <w:t>①不发生死亡事故</w:t>
            </w:r>
          </w:p>
          <w:p>
            <w:pPr>
              <w:adjustRightInd w:val="0"/>
              <w:snapToGrid w:val="0"/>
              <w:spacing w:line="276" w:lineRule="auto"/>
              <w:rPr>
                <w:rFonts w:ascii="宋体" w:hAnsi="宋体"/>
                <w:color w:val="000000"/>
                <w:sz w:val="18"/>
                <w:szCs w:val="18"/>
              </w:rPr>
            </w:pPr>
            <w:r>
              <w:rPr>
                <w:rFonts w:hint="eastAsia" w:ascii="宋体" w:hAnsi="宋体"/>
                <w:color w:val="000000"/>
                <w:sz w:val="18"/>
                <w:szCs w:val="18"/>
              </w:rPr>
              <w:t>②不发生一次重伤</w:t>
            </w:r>
          </w:p>
          <w:p>
            <w:pPr>
              <w:adjustRightInd w:val="0"/>
              <w:snapToGrid w:val="0"/>
              <w:spacing w:line="276" w:lineRule="auto"/>
              <w:rPr>
                <w:rFonts w:ascii="宋体" w:hAnsi="宋体"/>
                <w:color w:val="000000"/>
                <w:sz w:val="18"/>
                <w:szCs w:val="18"/>
              </w:rPr>
            </w:pPr>
            <w:r>
              <w:rPr>
                <w:rFonts w:hint="eastAsia" w:ascii="宋体" w:hAnsi="宋体"/>
                <w:color w:val="000000"/>
                <w:sz w:val="18"/>
                <w:szCs w:val="18"/>
              </w:rPr>
              <w:t>③不发生火灾事故</w:t>
            </w:r>
          </w:p>
        </w:tc>
        <w:tc>
          <w:tcPr>
            <w:tcW w:w="1337" w:type="dxa"/>
            <w:tcMar>
              <w:left w:w="28" w:type="dxa"/>
              <w:right w:w="28" w:type="dxa"/>
            </w:tcMar>
            <w:vAlign w:val="center"/>
          </w:tcPr>
          <w:p>
            <w:pPr>
              <w:adjustRightInd w:val="0"/>
              <w:snapToGrid w:val="0"/>
              <w:spacing w:line="276" w:lineRule="auto"/>
              <w:jc w:val="center"/>
              <w:rPr>
                <w:rFonts w:ascii="宋体" w:hAnsi="宋体"/>
                <w:color w:val="000000"/>
                <w:sz w:val="18"/>
                <w:szCs w:val="18"/>
              </w:rPr>
            </w:pPr>
            <w:r>
              <w:rPr>
                <w:rFonts w:hint="eastAsia" w:ascii="宋体" w:hAnsi="宋体"/>
                <w:color w:val="000000"/>
                <w:sz w:val="18"/>
                <w:szCs w:val="18"/>
              </w:rPr>
              <w:t>同左</w:t>
            </w:r>
          </w:p>
        </w:tc>
        <w:tc>
          <w:tcPr>
            <w:tcW w:w="1406" w:type="dxa"/>
            <w:tcMar>
              <w:left w:w="28" w:type="dxa"/>
              <w:right w:w="28" w:type="dxa"/>
            </w:tcMar>
            <w:vAlign w:val="center"/>
          </w:tcPr>
          <w:p>
            <w:pPr>
              <w:adjustRightInd w:val="0"/>
              <w:snapToGrid w:val="0"/>
              <w:spacing w:line="276" w:lineRule="auto"/>
              <w:rPr>
                <w:rFonts w:ascii="宋体" w:hAnsi="宋体"/>
                <w:color w:val="000000"/>
                <w:sz w:val="18"/>
                <w:szCs w:val="18"/>
              </w:rPr>
            </w:pPr>
            <w:r>
              <w:rPr>
                <w:rFonts w:hint="eastAsia" w:ascii="宋体" w:hAnsi="宋体"/>
                <w:color w:val="000000"/>
                <w:sz w:val="18"/>
                <w:szCs w:val="18"/>
              </w:rPr>
              <w:t>工伤事故统计</w:t>
            </w:r>
          </w:p>
        </w:tc>
        <w:tc>
          <w:tcPr>
            <w:tcW w:w="2631" w:type="dxa"/>
            <w:tcMar>
              <w:left w:w="28" w:type="dxa"/>
              <w:right w:w="28" w:type="dxa"/>
            </w:tcMar>
            <w:vAlign w:val="center"/>
          </w:tcPr>
          <w:p>
            <w:pPr>
              <w:numPr>
                <w:ilvl w:val="0"/>
                <w:numId w:val="1"/>
              </w:numPr>
              <w:adjustRightInd w:val="0"/>
              <w:snapToGrid w:val="0"/>
              <w:spacing w:line="276" w:lineRule="auto"/>
              <w:rPr>
                <w:rFonts w:ascii="宋体" w:hAnsi="宋体"/>
                <w:color w:val="000000"/>
                <w:sz w:val="18"/>
                <w:szCs w:val="18"/>
              </w:rPr>
            </w:pPr>
            <w:r>
              <w:rPr>
                <w:rFonts w:hint="eastAsia" w:ascii="宋体" w:hAnsi="宋体"/>
                <w:color w:val="000000"/>
                <w:sz w:val="18"/>
                <w:szCs w:val="18"/>
              </w:rPr>
              <w:t>公司每年与各车间签订安全生产管理目标责任书；</w:t>
            </w:r>
          </w:p>
          <w:p>
            <w:pPr>
              <w:numPr>
                <w:ilvl w:val="0"/>
                <w:numId w:val="1"/>
              </w:numPr>
              <w:adjustRightInd w:val="0"/>
              <w:snapToGrid w:val="0"/>
              <w:spacing w:line="276" w:lineRule="auto"/>
              <w:rPr>
                <w:rFonts w:ascii="宋体" w:hAnsi="宋体"/>
                <w:color w:val="000000"/>
                <w:sz w:val="18"/>
                <w:szCs w:val="18"/>
              </w:rPr>
            </w:pPr>
            <w:r>
              <w:rPr>
                <w:rFonts w:hint="eastAsia" w:ascii="宋体" w:hAnsi="宋体"/>
                <w:color w:val="000000"/>
                <w:sz w:val="18"/>
                <w:szCs w:val="18"/>
              </w:rPr>
              <w:t>安全宣传教育；</w:t>
            </w:r>
          </w:p>
          <w:p>
            <w:pPr>
              <w:numPr>
                <w:ilvl w:val="0"/>
                <w:numId w:val="1"/>
              </w:numPr>
              <w:adjustRightInd w:val="0"/>
              <w:snapToGrid w:val="0"/>
              <w:spacing w:line="276" w:lineRule="auto"/>
              <w:rPr>
                <w:rFonts w:ascii="宋体" w:hAnsi="宋体"/>
                <w:color w:val="000000"/>
                <w:sz w:val="18"/>
                <w:szCs w:val="18"/>
              </w:rPr>
            </w:pPr>
            <w:r>
              <w:rPr>
                <w:rFonts w:hint="eastAsia" w:ascii="宋体" w:hAnsi="宋体"/>
                <w:color w:val="000000"/>
                <w:sz w:val="18"/>
                <w:szCs w:val="18"/>
              </w:rPr>
              <w:t>安全检查；</w:t>
            </w:r>
          </w:p>
        </w:tc>
      </w:tr>
    </w:tbl>
    <w:p>
      <w:pPr>
        <w:pStyle w:val="4"/>
        <w:spacing w:before="120" w:after="120"/>
        <w:rPr>
          <w:sz w:val="24"/>
        </w:rPr>
      </w:pPr>
      <w:bookmarkStart w:id="42" w:name="_Toc523296983"/>
      <w:bookmarkStart w:id="43" w:name="_Toc523312700"/>
      <w:bookmarkStart w:id="44" w:name="_Toc230435568"/>
      <w:bookmarkStart w:id="45" w:name="_Toc230435332"/>
      <w:bookmarkStart w:id="46" w:name="_Toc261952247"/>
      <w:bookmarkStart w:id="47" w:name="_Toc306719804"/>
      <w:bookmarkStart w:id="48" w:name="_Toc230143142"/>
      <w:bookmarkStart w:id="49" w:name="_Toc301282794"/>
      <w:bookmarkStart w:id="50" w:name="_Toc211149641"/>
      <w:r>
        <w:rPr>
          <w:rFonts w:hint="eastAsia"/>
          <w:sz w:val="24"/>
        </w:rPr>
        <w:t>3、</w:t>
      </w:r>
      <w:r>
        <w:rPr>
          <w:sz w:val="24"/>
        </w:rPr>
        <w:t xml:space="preserve"> 道德行为</w:t>
      </w:r>
      <w:bookmarkEnd w:id="42"/>
      <w:bookmarkEnd w:id="43"/>
      <w:bookmarkEnd w:id="44"/>
      <w:bookmarkEnd w:id="45"/>
      <w:bookmarkEnd w:id="46"/>
      <w:bookmarkEnd w:id="47"/>
      <w:bookmarkEnd w:id="48"/>
      <w:bookmarkEnd w:id="49"/>
      <w:bookmarkEnd w:id="50"/>
    </w:p>
    <w:p>
      <w:pPr>
        <w:pStyle w:val="5"/>
        <w:adjustRightInd w:val="0"/>
        <w:spacing w:before="120" w:after="120"/>
        <w:rPr>
          <w:rFonts w:ascii="宋体" w:hAnsi="宋体"/>
          <w:szCs w:val="21"/>
        </w:rPr>
      </w:pPr>
      <w:r>
        <w:rPr>
          <w:rFonts w:hint="eastAsia" w:ascii="宋体" w:hAnsi="宋体"/>
          <w:szCs w:val="21"/>
        </w:rPr>
        <w:t>3.1 遵守诚信准则</w:t>
      </w:r>
    </w:p>
    <w:p>
      <w:pPr>
        <w:adjustRightInd w:val="0"/>
        <w:spacing w:line="360" w:lineRule="auto"/>
        <w:ind w:firstLine="480" w:firstLineChars="200"/>
        <w:rPr>
          <w:rFonts w:ascii="宋体" w:hAnsi="宋体"/>
          <w:sz w:val="24"/>
        </w:rPr>
      </w:pPr>
      <w:r>
        <w:rPr>
          <w:rFonts w:hint="eastAsia" w:ascii="宋体" w:hAnsi="宋体"/>
          <w:sz w:val="24"/>
          <w:highlight w:val="none"/>
          <w:lang w:eastAsia="zh-CN"/>
        </w:rPr>
        <w:t>万赛</w:t>
      </w:r>
      <w:r>
        <w:rPr>
          <w:rFonts w:hint="eastAsia" w:ascii="宋体" w:hAnsi="宋体"/>
          <w:sz w:val="24"/>
        </w:rPr>
        <w:t>注重企业内部道德诚信氛围的培养，高层领导以身作则，在公司树立了良好的道德榜样和形象。公司经营始终遵循“换位思考 尽显真诚”的理念，已经将遵守诚信的意识到灌输到所有员工思想中。</w:t>
      </w:r>
      <w:r>
        <w:rPr>
          <w:rFonts w:hint="eastAsia" w:ascii="宋体" w:hAnsi="宋体"/>
          <w:sz w:val="24"/>
          <w:lang w:eastAsia="zh-CN"/>
        </w:rPr>
        <w:t>万赛</w:t>
      </w:r>
      <w:r>
        <w:rPr>
          <w:rFonts w:hint="eastAsia" w:ascii="宋体" w:hAnsi="宋体"/>
          <w:sz w:val="24"/>
        </w:rPr>
        <w:t>文化的一大特点就是以诚相待，员工之间形成了一种坦诚沟通、不隐瞒问题的氛围。</w:t>
      </w:r>
    </w:p>
    <w:p>
      <w:pPr>
        <w:pStyle w:val="5"/>
        <w:adjustRightInd w:val="0"/>
        <w:spacing w:before="120" w:after="120"/>
        <w:rPr>
          <w:rFonts w:ascii="宋体" w:hAnsi="宋体"/>
          <w:szCs w:val="21"/>
        </w:rPr>
      </w:pPr>
      <w:r>
        <w:rPr>
          <w:rFonts w:hint="eastAsia" w:ascii="宋体" w:hAnsi="宋体"/>
          <w:szCs w:val="21"/>
        </w:rPr>
        <w:t>3.2 道德测量体系</w:t>
      </w:r>
    </w:p>
    <w:p>
      <w:pPr>
        <w:adjustRightInd w:val="0"/>
        <w:spacing w:line="360" w:lineRule="auto"/>
        <w:ind w:firstLine="420"/>
        <w:rPr>
          <w:rFonts w:ascii="宋体" w:hAnsi="宋体"/>
          <w:sz w:val="24"/>
        </w:rPr>
      </w:pPr>
      <w:r>
        <w:rPr>
          <w:rFonts w:ascii="宋体" w:hAnsi="宋体"/>
          <w:sz w:val="24"/>
        </w:rPr>
        <w:t>公司的道德行为主要表现为：在企业内部主要对</w:t>
      </w:r>
      <w:r>
        <w:rPr>
          <w:rFonts w:hint="eastAsia" w:ascii="宋体" w:hAnsi="宋体"/>
          <w:sz w:val="24"/>
        </w:rPr>
        <w:t>股东及</w:t>
      </w:r>
      <w:r>
        <w:rPr>
          <w:rFonts w:ascii="宋体" w:hAnsi="宋体"/>
          <w:sz w:val="24"/>
        </w:rPr>
        <w:t>员工负责；在企业之间主要对供应商和代理商负责；在企业外部主要对顾客、政府和社会等负责。如对于供应商和经销商，公司与其建立有良好的合作关系，</w:t>
      </w:r>
      <w:r>
        <w:rPr>
          <w:rFonts w:hint="eastAsia" w:ascii="宋体" w:hAnsi="宋体"/>
          <w:sz w:val="24"/>
        </w:rPr>
        <w:t>不定期</w:t>
      </w:r>
      <w:r>
        <w:rPr>
          <w:rFonts w:ascii="宋体" w:hAnsi="宋体"/>
          <w:sz w:val="24"/>
        </w:rPr>
        <w:t>邀请供应商赴</w:t>
      </w:r>
      <w:r>
        <w:rPr>
          <w:rFonts w:hint="eastAsia" w:ascii="宋体" w:hAnsi="宋体"/>
          <w:sz w:val="24"/>
          <w:lang w:eastAsia="zh-CN"/>
        </w:rPr>
        <w:t>万赛</w:t>
      </w:r>
      <w:r>
        <w:rPr>
          <w:rFonts w:ascii="宋体" w:hAnsi="宋体"/>
          <w:sz w:val="24"/>
        </w:rPr>
        <w:t>洽谈业务、沟通合作、增进友谊。公司道德行为活动的测量方法和指标见表</w:t>
      </w:r>
      <w:r>
        <w:rPr>
          <w:rFonts w:hint="eastAsia" w:ascii="宋体" w:hAnsi="宋体"/>
          <w:sz w:val="24"/>
        </w:rPr>
        <w:t>3.2-1</w:t>
      </w:r>
      <w:r>
        <w:rPr>
          <w:rFonts w:ascii="宋体" w:hAnsi="宋体"/>
          <w:sz w:val="24"/>
        </w:rPr>
        <w:t>。</w:t>
      </w:r>
    </w:p>
    <w:p>
      <w:pPr>
        <w:pStyle w:val="77"/>
        <w:spacing w:before="120"/>
        <w:rPr>
          <w:rFonts w:ascii="宋体" w:hAnsi="宋体"/>
        </w:rPr>
      </w:pPr>
      <w:bookmarkStart w:id="51" w:name="_Ref326704434"/>
      <w:r>
        <w:rPr>
          <w:rFonts w:hint="eastAsia" w:ascii="宋体" w:hAnsi="宋体"/>
        </w:rPr>
        <w:t>表3.2-</w:t>
      </w:r>
      <w:bookmarkEnd w:id="51"/>
      <w:r>
        <w:rPr>
          <w:rFonts w:hint="eastAsia" w:ascii="宋体" w:hAnsi="宋体"/>
        </w:rPr>
        <w:t>1</w:t>
      </w:r>
      <w:r>
        <w:rPr>
          <w:rFonts w:ascii="宋体" w:hAnsi="宋体"/>
        </w:rPr>
        <w:t>公司道德行为监测体系</w:t>
      </w:r>
    </w:p>
    <w:tbl>
      <w:tblPr>
        <w:tblStyle w:val="37"/>
        <w:tblW w:w="90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2"/>
        <w:gridCol w:w="1115"/>
        <w:gridCol w:w="1276"/>
        <w:gridCol w:w="4009"/>
        <w:gridCol w:w="12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1382" w:type="dxa"/>
            <w:shd w:val="clear" w:color="auto" w:fill="C00000"/>
            <w:vAlign w:val="center"/>
          </w:tcPr>
          <w:p>
            <w:pPr>
              <w:spacing w:line="276" w:lineRule="auto"/>
              <w:jc w:val="center"/>
              <w:rPr>
                <w:rFonts w:ascii="宋体" w:hAnsi="宋体"/>
                <w:b/>
                <w:szCs w:val="18"/>
              </w:rPr>
            </w:pPr>
            <w:r>
              <w:rPr>
                <w:rFonts w:hint="eastAsia" w:ascii="宋体" w:hAnsi="宋体"/>
                <w:b/>
                <w:szCs w:val="18"/>
              </w:rPr>
              <w:t>道德行为类型</w:t>
            </w:r>
          </w:p>
        </w:tc>
        <w:tc>
          <w:tcPr>
            <w:tcW w:w="1115" w:type="dxa"/>
            <w:shd w:val="clear" w:color="auto" w:fill="C00000"/>
            <w:vAlign w:val="center"/>
          </w:tcPr>
          <w:p>
            <w:pPr>
              <w:spacing w:line="276" w:lineRule="auto"/>
              <w:jc w:val="center"/>
              <w:rPr>
                <w:rFonts w:ascii="宋体" w:hAnsi="宋体"/>
                <w:b/>
                <w:szCs w:val="18"/>
              </w:rPr>
            </w:pPr>
            <w:r>
              <w:rPr>
                <w:rFonts w:hint="eastAsia" w:ascii="宋体" w:hAnsi="宋体"/>
                <w:b/>
                <w:szCs w:val="18"/>
              </w:rPr>
              <w:t>监督对象</w:t>
            </w:r>
          </w:p>
        </w:tc>
        <w:tc>
          <w:tcPr>
            <w:tcW w:w="1276" w:type="dxa"/>
            <w:shd w:val="clear" w:color="auto" w:fill="C00000"/>
            <w:vAlign w:val="center"/>
          </w:tcPr>
          <w:p>
            <w:pPr>
              <w:spacing w:line="276" w:lineRule="auto"/>
              <w:jc w:val="center"/>
              <w:rPr>
                <w:rFonts w:ascii="宋体" w:hAnsi="宋体"/>
                <w:b/>
                <w:szCs w:val="18"/>
              </w:rPr>
            </w:pPr>
            <w:r>
              <w:rPr>
                <w:rFonts w:hint="eastAsia" w:ascii="宋体" w:hAnsi="宋体"/>
                <w:b/>
                <w:szCs w:val="18"/>
              </w:rPr>
              <w:t>监督部门</w:t>
            </w:r>
          </w:p>
        </w:tc>
        <w:tc>
          <w:tcPr>
            <w:tcW w:w="4009" w:type="dxa"/>
            <w:shd w:val="clear" w:color="auto" w:fill="C00000"/>
            <w:vAlign w:val="center"/>
          </w:tcPr>
          <w:p>
            <w:pPr>
              <w:spacing w:line="276" w:lineRule="auto"/>
              <w:jc w:val="center"/>
              <w:rPr>
                <w:rFonts w:ascii="宋体" w:hAnsi="宋体"/>
                <w:b/>
                <w:szCs w:val="18"/>
              </w:rPr>
            </w:pPr>
            <w:r>
              <w:rPr>
                <w:rFonts w:hint="eastAsia" w:ascii="宋体" w:hAnsi="宋体"/>
                <w:b/>
                <w:szCs w:val="18"/>
              </w:rPr>
              <w:t>测量方法与过程</w:t>
            </w:r>
          </w:p>
        </w:tc>
        <w:tc>
          <w:tcPr>
            <w:tcW w:w="1267" w:type="dxa"/>
            <w:shd w:val="clear" w:color="auto" w:fill="C00000"/>
            <w:vAlign w:val="center"/>
          </w:tcPr>
          <w:p>
            <w:pPr>
              <w:spacing w:line="276" w:lineRule="auto"/>
              <w:jc w:val="center"/>
              <w:rPr>
                <w:rFonts w:ascii="宋体" w:hAnsi="宋体"/>
                <w:b/>
                <w:szCs w:val="18"/>
              </w:rPr>
            </w:pPr>
            <w:r>
              <w:rPr>
                <w:rFonts w:hint="eastAsia" w:ascii="宋体" w:hAnsi="宋体"/>
                <w:b/>
                <w:szCs w:val="18"/>
              </w:rPr>
              <w:t>测量指标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vMerge w:val="restart"/>
            <w:shd w:val="clear" w:color="auto" w:fill="auto"/>
            <w:vAlign w:val="center"/>
          </w:tcPr>
          <w:p>
            <w:pPr>
              <w:spacing w:line="276" w:lineRule="auto"/>
              <w:jc w:val="center"/>
              <w:rPr>
                <w:rFonts w:ascii="宋体" w:hAnsi="宋体"/>
                <w:szCs w:val="18"/>
              </w:rPr>
            </w:pPr>
            <w:r>
              <w:rPr>
                <w:rFonts w:hint="eastAsia" w:ascii="宋体" w:hAnsi="宋体"/>
                <w:szCs w:val="18"/>
              </w:rPr>
              <w:t>企业内部</w:t>
            </w:r>
          </w:p>
        </w:tc>
        <w:tc>
          <w:tcPr>
            <w:tcW w:w="1115" w:type="dxa"/>
            <w:shd w:val="clear" w:color="auto" w:fill="auto"/>
            <w:vAlign w:val="center"/>
          </w:tcPr>
          <w:p>
            <w:pPr>
              <w:spacing w:line="276" w:lineRule="auto"/>
              <w:jc w:val="center"/>
              <w:rPr>
                <w:rFonts w:ascii="宋体" w:hAnsi="宋体"/>
                <w:szCs w:val="18"/>
              </w:rPr>
            </w:pPr>
            <w:r>
              <w:rPr>
                <w:rFonts w:hint="eastAsia" w:ascii="宋体" w:hAnsi="宋体"/>
                <w:szCs w:val="18"/>
              </w:rPr>
              <w:t>员工</w:t>
            </w:r>
          </w:p>
        </w:tc>
        <w:tc>
          <w:tcPr>
            <w:tcW w:w="1276" w:type="dxa"/>
            <w:vMerge w:val="restart"/>
            <w:shd w:val="clear" w:color="auto" w:fill="auto"/>
            <w:vAlign w:val="center"/>
          </w:tcPr>
          <w:p>
            <w:pPr>
              <w:spacing w:line="276" w:lineRule="auto"/>
              <w:jc w:val="center"/>
              <w:rPr>
                <w:rFonts w:ascii="宋体" w:hAnsi="宋体"/>
                <w:szCs w:val="18"/>
              </w:rPr>
            </w:pPr>
            <w:r>
              <w:rPr>
                <w:rFonts w:hint="eastAsia" w:ascii="宋体" w:hAnsi="宋体"/>
                <w:szCs w:val="18"/>
              </w:rPr>
              <w:t>人事行政部及相关部门</w:t>
            </w:r>
          </w:p>
        </w:tc>
        <w:tc>
          <w:tcPr>
            <w:tcW w:w="4009" w:type="dxa"/>
            <w:shd w:val="clear" w:color="auto" w:fill="auto"/>
            <w:vAlign w:val="center"/>
          </w:tcPr>
          <w:p>
            <w:pPr>
              <w:spacing w:line="276" w:lineRule="auto"/>
              <w:rPr>
                <w:rFonts w:ascii="宋体" w:hAnsi="宋体"/>
                <w:szCs w:val="18"/>
              </w:rPr>
            </w:pPr>
            <w:r>
              <w:rPr>
                <w:rFonts w:hint="eastAsia" w:ascii="宋体" w:hAnsi="宋体"/>
                <w:szCs w:val="18"/>
              </w:rPr>
              <w:t>积极开展员工的定期培训；加强道德培训，提高员工的素质等；制定《员工手册》行为规范，并进行了轮训、学习；开展评先进活动，包括评先先进个人、岗位标兵、先进团体等；对不良行为制订处罚措施，主要包括批评教育、通告、经济考核等；通过车间及公告栏上的标语对员工进行潜移默化的教育；高层领导以身作则，带动员工进行道德上的提高。</w:t>
            </w:r>
          </w:p>
        </w:tc>
        <w:tc>
          <w:tcPr>
            <w:tcW w:w="1267" w:type="dxa"/>
            <w:shd w:val="clear" w:color="auto" w:fill="auto"/>
            <w:vAlign w:val="center"/>
          </w:tcPr>
          <w:p>
            <w:pPr>
              <w:spacing w:line="276" w:lineRule="auto"/>
              <w:rPr>
                <w:rFonts w:ascii="宋体" w:hAnsi="宋体"/>
                <w:szCs w:val="18"/>
              </w:rPr>
            </w:pPr>
            <w:r>
              <w:rPr>
                <w:rFonts w:hint="eastAsia" w:ascii="宋体" w:hAnsi="宋体"/>
                <w:szCs w:val="18"/>
              </w:rPr>
              <w:t>员工满意度，员工忠诚度，员工培训时间等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vMerge w:val="continue"/>
            <w:shd w:val="clear" w:color="auto" w:fill="auto"/>
            <w:vAlign w:val="center"/>
          </w:tcPr>
          <w:p>
            <w:pPr>
              <w:spacing w:line="276" w:lineRule="auto"/>
              <w:jc w:val="center"/>
              <w:rPr>
                <w:rFonts w:ascii="宋体" w:hAnsi="宋体"/>
                <w:szCs w:val="18"/>
              </w:rPr>
            </w:pPr>
          </w:p>
        </w:tc>
        <w:tc>
          <w:tcPr>
            <w:tcW w:w="1115" w:type="dxa"/>
            <w:shd w:val="clear" w:color="auto" w:fill="auto"/>
            <w:vAlign w:val="center"/>
          </w:tcPr>
          <w:p>
            <w:pPr>
              <w:spacing w:line="276" w:lineRule="auto"/>
              <w:jc w:val="center"/>
              <w:rPr>
                <w:rFonts w:ascii="宋体" w:hAnsi="宋体"/>
                <w:szCs w:val="18"/>
              </w:rPr>
            </w:pPr>
            <w:r>
              <w:rPr>
                <w:rFonts w:hint="eastAsia" w:ascii="宋体" w:hAnsi="宋体"/>
                <w:szCs w:val="18"/>
              </w:rPr>
              <w:t>股东</w:t>
            </w:r>
          </w:p>
        </w:tc>
        <w:tc>
          <w:tcPr>
            <w:tcW w:w="1276" w:type="dxa"/>
            <w:vMerge w:val="continue"/>
            <w:shd w:val="clear" w:color="auto" w:fill="auto"/>
            <w:vAlign w:val="center"/>
          </w:tcPr>
          <w:p>
            <w:pPr>
              <w:spacing w:line="276" w:lineRule="auto"/>
              <w:jc w:val="center"/>
              <w:rPr>
                <w:rFonts w:ascii="宋体" w:hAnsi="宋体"/>
                <w:szCs w:val="18"/>
              </w:rPr>
            </w:pPr>
          </w:p>
        </w:tc>
        <w:tc>
          <w:tcPr>
            <w:tcW w:w="4009" w:type="dxa"/>
            <w:shd w:val="clear" w:color="auto" w:fill="auto"/>
            <w:vAlign w:val="center"/>
          </w:tcPr>
          <w:p>
            <w:pPr>
              <w:spacing w:line="276" w:lineRule="auto"/>
              <w:rPr>
                <w:rFonts w:ascii="宋体" w:hAnsi="宋体"/>
                <w:szCs w:val="18"/>
              </w:rPr>
            </w:pPr>
            <w:r>
              <w:rPr>
                <w:rFonts w:hint="eastAsia" w:ascii="宋体" w:hAnsi="宋体"/>
                <w:szCs w:val="18"/>
              </w:rPr>
              <w:t>遵纪守法、信息真实；以《公司法》为准绳，合法生产，合法经营等；对公司内部管理公平公正，真实透明。</w:t>
            </w:r>
          </w:p>
        </w:tc>
        <w:tc>
          <w:tcPr>
            <w:tcW w:w="1267" w:type="dxa"/>
            <w:shd w:val="clear" w:color="auto" w:fill="auto"/>
            <w:vAlign w:val="center"/>
          </w:tcPr>
          <w:p>
            <w:pPr>
              <w:spacing w:line="276" w:lineRule="auto"/>
              <w:rPr>
                <w:rFonts w:ascii="宋体" w:hAnsi="宋体"/>
                <w:szCs w:val="18"/>
              </w:rPr>
            </w:pPr>
            <w:r>
              <w:rPr>
                <w:rFonts w:hint="eastAsia" w:ascii="宋体" w:hAnsi="宋体"/>
                <w:szCs w:val="18"/>
              </w:rPr>
              <w:t>股东满意度，企业利润等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shd w:val="clear" w:color="auto" w:fill="auto"/>
            <w:vAlign w:val="center"/>
          </w:tcPr>
          <w:p>
            <w:pPr>
              <w:spacing w:line="276" w:lineRule="auto"/>
              <w:jc w:val="center"/>
              <w:rPr>
                <w:rFonts w:ascii="宋体" w:hAnsi="宋体"/>
                <w:szCs w:val="18"/>
              </w:rPr>
            </w:pPr>
            <w:r>
              <w:rPr>
                <w:rFonts w:hint="eastAsia" w:ascii="宋体" w:hAnsi="宋体"/>
                <w:szCs w:val="18"/>
              </w:rPr>
              <w:t>企业之间</w:t>
            </w:r>
          </w:p>
        </w:tc>
        <w:tc>
          <w:tcPr>
            <w:tcW w:w="1115" w:type="dxa"/>
            <w:shd w:val="clear" w:color="auto" w:fill="auto"/>
            <w:vAlign w:val="center"/>
          </w:tcPr>
          <w:p>
            <w:pPr>
              <w:spacing w:line="276" w:lineRule="auto"/>
              <w:jc w:val="center"/>
              <w:rPr>
                <w:rFonts w:ascii="宋体" w:hAnsi="宋体"/>
                <w:szCs w:val="18"/>
              </w:rPr>
            </w:pPr>
            <w:r>
              <w:rPr>
                <w:rFonts w:hint="eastAsia" w:ascii="宋体" w:hAnsi="宋体"/>
                <w:szCs w:val="18"/>
              </w:rPr>
              <w:t>供应商和代理商</w:t>
            </w:r>
          </w:p>
        </w:tc>
        <w:tc>
          <w:tcPr>
            <w:tcW w:w="1276" w:type="dxa"/>
            <w:shd w:val="clear" w:color="auto" w:fill="auto"/>
            <w:vAlign w:val="center"/>
          </w:tcPr>
          <w:p>
            <w:pPr>
              <w:spacing w:line="276" w:lineRule="auto"/>
              <w:jc w:val="center"/>
              <w:rPr>
                <w:rFonts w:ascii="宋体" w:hAnsi="宋体"/>
                <w:szCs w:val="18"/>
              </w:rPr>
            </w:pPr>
            <w:r>
              <w:rPr>
                <w:rFonts w:hint="eastAsia" w:ascii="宋体" w:hAnsi="宋体"/>
                <w:szCs w:val="18"/>
              </w:rPr>
              <w:t>营销中心、</w:t>
            </w:r>
            <w:r>
              <w:rPr>
                <w:rFonts w:ascii="宋体" w:hAnsi="宋体"/>
                <w:szCs w:val="18"/>
              </w:rPr>
              <w:t>采购部</w:t>
            </w:r>
          </w:p>
        </w:tc>
        <w:tc>
          <w:tcPr>
            <w:tcW w:w="4009" w:type="dxa"/>
            <w:shd w:val="clear" w:color="auto" w:fill="auto"/>
            <w:vAlign w:val="center"/>
          </w:tcPr>
          <w:p>
            <w:pPr>
              <w:spacing w:line="276" w:lineRule="auto"/>
              <w:rPr>
                <w:rFonts w:ascii="宋体" w:hAnsi="宋体"/>
                <w:szCs w:val="18"/>
              </w:rPr>
            </w:pPr>
            <w:r>
              <w:rPr>
                <w:rFonts w:hint="eastAsia" w:ascii="宋体" w:hAnsi="宋体"/>
                <w:szCs w:val="18"/>
              </w:rPr>
              <w:t>规定公司的质量方针、质量保证、服务承诺；严格按照《合同法》和《供货合同、技术协议》操作实施，保护相关方利益；按照产品质量稳定、价格适中、及时交付等要求测量</w:t>
            </w:r>
          </w:p>
        </w:tc>
        <w:tc>
          <w:tcPr>
            <w:tcW w:w="1267" w:type="dxa"/>
            <w:shd w:val="clear" w:color="auto" w:fill="auto"/>
            <w:vAlign w:val="center"/>
          </w:tcPr>
          <w:p>
            <w:pPr>
              <w:spacing w:line="276" w:lineRule="auto"/>
              <w:rPr>
                <w:rFonts w:ascii="宋体" w:hAnsi="宋体"/>
                <w:szCs w:val="18"/>
              </w:rPr>
            </w:pPr>
            <w:r>
              <w:rPr>
                <w:rFonts w:hint="eastAsia" w:ascii="宋体" w:hAnsi="宋体"/>
                <w:szCs w:val="18"/>
              </w:rPr>
              <w:t>合同违约率，索赔金额等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1382" w:type="dxa"/>
            <w:vMerge w:val="restart"/>
            <w:shd w:val="clear" w:color="auto" w:fill="auto"/>
            <w:vAlign w:val="center"/>
          </w:tcPr>
          <w:p>
            <w:pPr>
              <w:spacing w:line="276" w:lineRule="auto"/>
              <w:jc w:val="center"/>
              <w:rPr>
                <w:rFonts w:ascii="宋体" w:hAnsi="宋体"/>
                <w:szCs w:val="18"/>
              </w:rPr>
            </w:pPr>
            <w:r>
              <w:rPr>
                <w:rFonts w:hint="eastAsia" w:ascii="宋体" w:hAnsi="宋体"/>
                <w:szCs w:val="18"/>
              </w:rPr>
              <w:t>企业外部</w:t>
            </w:r>
          </w:p>
        </w:tc>
        <w:tc>
          <w:tcPr>
            <w:tcW w:w="1115" w:type="dxa"/>
            <w:shd w:val="clear" w:color="auto" w:fill="auto"/>
            <w:vAlign w:val="center"/>
          </w:tcPr>
          <w:p>
            <w:pPr>
              <w:spacing w:line="276" w:lineRule="auto"/>
              <w:jc w:val="center"/>
              <w:rPr>
                <w:rFonts w:ascii="宋体" w:hAnsi="宋体"/>
                <w:szCs w:val="18"/>
              </w:rPr>
            </w:pPr>
            <w:r>
              <w:rPr>
                <w:rFonts w:hint="eastAsia" w:ascii="宋体" w:hAnsi="宋体"/>
                <w:szCs w:val="18"/>
              </w:rPr>
              <w:t>政府</w:t>
            </w:r>
          </w:p>
        </w:tc>
        <w:tc>
          <w:tcPr>
            <w:tcW w:w="1276" w:type="dxa"/>
            <w:vMerge w:val="restart"/>
            <w:shd w:val="clear" w:color="auto" w:fill="auto"/>
            <w:vAlign w:val="center"/>
          </w:tcPr>
          <w:p>
            <w:pPr>
              <w:spacing w:line="276" w:lineRule="auto"/>
              <w:jc w:val="center"/>
              <w:rPr>
                <w:rFonts w:ascii="宋体" w:hAnsi="宋体"/>
                <w:szCs w:val="18"/>
              </w:rPr>
            </w:pPr>
            <w:r>
              <w:rPr>
                <w:rFonts w:hint="eastAsia" w:ascii="宋体" w:hAnsi="宋体"/>
                <w:szCs w:val="18"/>
              </w:rPr>
              <w:t>人事行政部及相关部门</w:t>
            </w:r>
          </w:p>
        </w:tc>
        <w:tc>
          <w:tcPr>
            <w:tcW w:w="4009" w:type="dxa"/>
            <w:shd w:val="clear" w:color="auto" w:fill="auto"/>
            <w:vAlign w:val="center"/>
          </w:tcPr>
          <w:p>
            <w:pPr>
              <w:spacing w:line="276" w:lineRule="auto"/>
              <w:rPr>
                <w:rFonts w:ascii="宋体" w:hAnsi="宋体"/>
                <w:szCs w:val="18"/>
              </w:rPr>
            </w:pPr>
            <w:r>
              <w:rPr>
                <w:rFonts w:hint="eastAsia" w:ascii="宋体" w:hAnsi="宋体"/>
                <w:szCs w:val="18"/>
              </w:rPr>
              <w:t>依法纳税、廉洁自律；严格按照国家的税法、会计法等法律法规进行操作等</w:t>
            </w:r>
          </w:p>
        </w:tc>
        <w:tc>
          <w:tcPr>
            <w:tcW w:w="1267" w:type="dxa"/>
            <w:shd w:val="clear" w:color="auto" w:fill="auto"/>
            <w:vAlign w:val="center"/>
          </w:tcPr>
          <w:p>
            <w:pPr>
              <w:spacing w:line="276" w:lineRule="auto"/>
              <w:rPr>
                <w:rFonts w:ascii="宋体" w:hAnsi="宋体"/>
                <w:szCs w:val="18"/>
              </w:rPr>
            </w:pPr>
            <w:r>
              <w:rPr>
                <w:rFonts w:hint="eastAsia" w:ascii="宋体" w:hAnsi="宋体"/>
                <w:szCs w:val="18"/>
              </w:rPr>
              <w:t>纳税金额等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vMerge w:val="continue"/>
            <w:shd w:val="clear" w:color="auto" w:fill="auto"/>
            <w:vAlign w:val="center"/>
          </w:tcPr>
          <w:p>
            <w:pPr>
              <w:spacing w:line="276" w:lineRule="auto"/>
              <w:jc w:val="center"/>
              <w:rPr>
                <w:rFonts w:ascii="宋体" w:hAnsi="宋体"/>
                <w:szCs w:val="18"/>
              </w:rPr>
            </w:pPr>
          </w:p>
        </w:tc>
        <w:tc>
          <w:tcPr>
            <w:tcW w:w="1115" w:type="dxa"/>
            <w:shd w:val="clear" w:color="auto" w:fill="auto"/>
            <w:vAlign w:val="center"/>
          </w:tcPr>
          <w:p>
            <w:pPr>
              <w:spacing w:line="276" w:lineRule="auto"/>
              <w:jc w:val="center"/>
              <w:rPr>
                <w:rFonts w:ascii="宋体" w:hAnsi="宋体"/>
                <w:szCs w:val="18"/>
              </w:rPr>
            </w:pPr>
            <w:r>
              <w:rPr>
                <w:rFonts w:hint="eastAsia" w:ascii="宋体" w:hAnsi="宋体"/>
                <w:szCs w:val="18"/>
              </w:rPr>
              <w:t>社会公众</w:t>
            </w:r>
          </w:p>
        </w:tc>
        <w:tc>
          <w:tcPr>
            <w:tcW w:w="1276" w:type="dxa"/>
            <w:vMerge w:val="continue"/>
            <w:shd w:val="clear" w:color="auto" w:fill="auto"/>
            <w:vAlign w:val="center"/>
          </w:tcPr>
          <w:p>
            <w:pPr>
              <w:spacing w:line="276" w:lineRule="auto"/>
              <w:jc w:val="center"/>
              <w:rPr>
                <w:rFonts w:ascii="宋体" w:hAnsi="宋体"/>
                <w:szCs w:val="18"/>
              </w:rPr>
            </w:pPr>
          </w:p>
        </w:tc>
        <w:tc>
          <w:tcPr>
            <w:tcW w:w="4009" w:type="dxa"/>
            <w:shd w:val="clear" w:color="auto" w:fill="auto"/>
            <w:vAlign w:val="center"/>
          </w:tcPr>
          <w:p>
            <w:pPr>
              <w:spacing w:line="276" w:lineRule="auto"/>
              <w:rPr>
                <w:rFonts w:ascii="宋体" w:hAnsi="宋体"/>
                <w:szCs w:val="18"/>
              </w:rPr>
            </w:pPr>
            <w:r>
              <w:rPr>
                <w:rFonts w:hint="eastAsia" w:ascii="宋体" w:hAnsi="宋体"/>
                <w:szCs w:val="18"/>
              </w:rPr>
              <w:t>诚信经营、保护公众利益；开展清洁生产，保护环境等</w:t>
            </w:r>
          </w:p>
        </w:tc>
        <w:tc>
          <w:tcPr>
            <w:tcW w:w="1267" w:type="dxa"/>
            <w:shd w:val="clear" w:color="auto" w:fill="auto"/>
            <w:vAlign w:val="center"/>
          </w:tcPr>
          <w:p>
            <w:pPr>
              <w:spacing w:line="276" w:lineRule="auto"/>
              <w:rPr>
                <w:rFonts w:ascii="宋体" w:hAnsi="宋体"/>
                <w:szCs w:val="18"/>
              </w:rPr>
            </w:pPr>
            <w:r>
              <w:rPr>
                <w:rFonts w:hint="eastAsia" w:ascii="宋体" w:hAnsi="宋体"/>
                <w:szCs w:val="18"/>
              </w:rPr>
              <w:t>捐赠金额等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vMerge w:val="continue"/>
            <w:shd w:val="clear" w:color="auto" w:fill="auto"/>
            <w:vAlign w:val="center"/>
          </w:tcPr>
          <w:p>
            <w:pPr>
              <w:spacing w:line="276" w:lineRule="auto"/>
              <w:jc w:val="center"/>
              <w:rPr>
                <w:rFonts w:ascii="宋体" w:hAnsi="宋体"/>
                <w:szCs w:val="18"/>
              </w:rPr>
            </w:pPr>
          </w:p>
        </w:tc>
        <w:tc>
          <w:tcPr>
            <w:tcW w:w="1115" w:type="dxa"/>
            <w:shd w:val="clear" w:color="auto" w:fill="auto"/>
            <w:vAlign w:val="center"/>
          </w:tcPr>
          <w:p>
            <w:pPr>
              <w:spacing w:line="276" w:lineRule="auto"/>
              <w:jc w:val="center"/>
              <w:rPr>
                <w:rFonts w:ascii="宋体" w:hAnsi="宋体"/>
                <w:szCs w:val="18"/>
              </w:rPr>
            </w:pPr>
            <w:r>
              <w:rPr>
                <w:rFonts w:hint="eastAsia" w:ascii="宋体" w:hAnsi="宋体"/>
                <w:szCs w:val="18"/>
              </w:rPr>
              <w:t>顾客</w:t>
            </w:r>
          </w:p>
        </w:tc>
        <w:tc>
          <w:tcPr>
            <w:tcW w:w="1276" w:type="dxa"/>
            <w:shd w:val="clear" w:color="auto" w:fill="auto"/>
            <w:vAlign w:val="center"/>
          </w:tcPr>
          <w:p>
            <w:pPr>
              <w:spacing w:line="276" w:lineRule="auto"/>
              <w:jc w:val="center"/>
              <w:rPr>
                <w:rFonts w:ascii="宋体" w:hAnsi="宋体"/>
                <w:szCs w:val="18"/>
              </w:rPr>
            </w:pPr>
            <w:r>
              <w:rPr>
                <w:rFonts w:hint="eastAsia" w:ascii="宋体" w:hAnsi="宋体"/>
                <w:szCs w:val="18"/>
              </w:rPr>
              <w:t>营销中心</w:t>
            </w:r>
          </w:p>
        </w:tc>
        <w:tc>
          <w:tcPr>
            <w:tcW w:w="4009" w:type="dxa"/>
            <w:shd w:val="clear" w:color="auto" w:fill="auto"/>
            <w:vAlign w:val="center"/>
          </w:tcPr>
          <w:p>
            <w:pPr>
              <w:spacing w:line="276" w:lineRule="auto"/>
              <w:rPr>
                <w:rFonts w:ascii="宋体" w:hAnsi="宋体"/>
                <w:szCs w:val="18"/>
              </w:rPr>
            </w:pPr>
            <w:r>
              <w:rPr>
                <w:rFonts w:hint="eastAsia" w:ascii="宋体" w:hAnsi="宋体"/>
                <w:szCs w:val="18"/>
              </w:rPr>
              <w:t>加强产品质量控制，提供优质产品；对于顾客投诉解决应对等</w:t>
            </w:r>
          </w:p>
        </w:tc>
        <w:tc>
          <w:tcPr>
            <w:tcW w:w="1267" w:type="dxa"/>
            <w:shd w:val="clear" w:color="auto" w:fill="auto"/>
            <w:vAlign w:val="center"/>
          </w:tcPr>
          <w:p>
            <w:pPr>
              <w:spacing w:line="276" w:lineRule="auto"/>
              <w:rPr>
                <w:rFonts w:ascii="宋体" w:hAnsi="宋体"/>
                <w:szCs w:val="18"/>
              </w:rPr>
            </w:pPr>
            <w:r>
              <w:rPr>
                <w:rFonts w:hint="eastAsia" w:ascii="宋体" w:hAnsi="宋体"/>
                <w:szCs w:val="18"/>
              </w:rPr>
              <w:t>顾客满意度等</w:t>
            </w:r>
          </w:p>
        </w:tc>
      </w:tr>
    </w:tbl>
    <w:p>
      <w:pPr>
        <w:pStyle w:val="4"/>
        <w:spacing w:before="120" w:after="120"/>
        <w:rPr>
          <w:sz w:val="24"/>
        </w:rPr>
      </w:pPr>
      <w:bookmarkStart w:id="52" w:name="_Toc306719805"/>
      <w:bookmarkStart w:id="53" w:name="_Toc523296984"/>
      <w:bookmarkStart w:id="54" w:name="_Toc261952248"/>
      <w:bookmarkStart w:id="55" w:name="_Toc523312701"/>
      <w:bookmarkStart w:id="56" w:name="_Toc301282795"/>
      <w:r>
        <w:rPr>
          <w:rFonts w:hint="eastAsia"/>
          <w:sz w:val="24"/>
        </w:rPr>
        <w:t>4、员工权益：</w:t>
      </w:r>
    </w:p>
    <w:p>
      <w:pPr>
        <w:adjustRightInd w:val="0"/>
        <w:snapToGrid w:val="0"/>
        <w:spacing w:before="120" w:beforeLines="50" w:line="360" w:lineRule="auto"/>
        <w:ind w:firstLine="480"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公司</w:t>
      </w:r>
      <w:r>
        <w:rPr>
          <w:rFonts w:cs="Times New Roman" w:asciiTheme="minorEastAsia" w:hAnsiTheme="minorEastAsia"/>
          <w:kern w:val="0"/>
          <w:sz w:val="24"/>
          <w:szCs w:val="24"/>
        </w:rPr>
        <w:t>自成立以来严格遵守《中华人民共和国劳动法》、《中华人民共和国劳动合同法》等劳动和社会保障</w:t>
      </w:r>
      <w:r>
        <w:rPr>
          <w:rFonts w:hint="eastAsia" w:cs="Times New Roman" w:asciiTheme="minorEastAsia" w:hAnsiTheme="minorEastAsia"/>
          <w:kern w:val="0"/>
          <w:sz w:val="24"/>
          <w:szCs w:val="24"/>
        </w:rPr>
        <w:t>方面</w:t>
      </w:r>
      <w:r>
        <w:rPr>
          <w:rFonts w:cs="Times New Roman" w:asciiTheme="minorEastAsia" w:hAnsiTheme="minorEastAsia"/>
          <w:kern w:val="0"/>
          <w:sz w:val="24"/>
          <w:szCs w:val="24"/>
        </w:rPr>
        <w:t>的法律、法规和规章</w:t>
      </w:r>
      <w:r>
        <w:rPr>
          <w:rFonts w:hint="eastAsia" w:asciiTheme="minorEastAsia" w:hAnsiTheme="minorEastAsia"/>
          <w:sz w:val="24"/>
          <w:szCs w:val="24"/>
        </w:rPr>
        <w:t>。</w:t>
      </w:r>
      <w:r>
        <w:rPr>
          <w:rFonts w:asciiTheme="minorEastAsia" w:hAnsiTheme="minorEastAsia"/>
          <w:sz w:val="24"/>
          <w:szCs w:val="24"/>
        </w:rPr>
        <w:t>实行劳动合同制，与</w:t>
      </w:r>
      <w:r>
        <w:rPr>
          <w:rFonts w:hint="eastAsia" w:asciiTheme="minorEastAsia" w:hAnsiTheme="minorEastAsia"/>
          <w:sz w:val="24"/>
          <w:szCs w:val="24"/>
        </w:rPr>
        <w:t>所有员工</w:t>
      </w:r>
      <w:r>
        <w:rPr>
          <w:rFonts w:asciiTheme="minorEastAsia" w:hAnsiTheme="minorEastAsia"/>
          <w:sz w:val="24"/>
          <w:szCs w:val="24"/>
        </w:rPr>
        <w:t>按照《劳动合同法》的有关规定签订了《劳动合同》，并为员工提供了社会保障计划。目前，公司已根据国家及地方的有关规定，为员工缴纳了养老保险金、工伤保险金、医疗保险金、失业保</w:t>
      </w:r>
      <w:r>
        <w:rPr>
          <w:rFonts w:hint="eastAsia" w:asciiTheme="minorEastAsia" w:hAnsiTheme="minorEastAsia"/>
          <w:sz w:val="24"/>
          <w:szCs w:val="24"/>
        </w:rPr>
        <w:t>险</w:t>
      </w:r>
      <w:r>
        <w:rPr>
          <w:rFonts w:asciiTheme="minorEastAsia" w:hAnsiTheme="minorEastAsia"/>
          <w:sz w:val="24"/>
          <w:szCs w:val="24"/>
        </w:rPr>
        <w:t>金、生育保险金和</w:t>
      </w:r>
      <w:r>
        <w:rPr>
          <w:rFonts w:hint="eastAsia" w:asciiTheme="minorEastAsia" w:hAnsiTheme="minorEastAsia"/>
          <w:sz w:val="24"/>
          <w:szCs w:val="24"/>
        </w:rPr>
        <w:t>大病险</w:t>
      </w:r>
      <w:r>
        <w:rPr>
          <w:rFonts w:asciiTheme="minorEastAsia" w:hAnsiTheme="minorEastAsia"/>
          <w:sz w:val="24"/>
          <w:szCs w:val="24"/>
        </w:rPr>
        <w:t>。</w:t>
      </w:r>
      <w:r>
        <w:rPr>
          <w:rFonts w:hint="eastAsia" w:asciiTheme="minorEastAsia" w:hAnsiTheme="minorEastAsia"/>
          <w:sz w:val="24"/>
          <w:szCs w:val="24"/>
        </w:rPr>
        <w:t>员工可享受法定休假、婚假、丧假、产假等带薪假期。公司</w:t>
      </w:r>
      <w:r>
        <w:rPr>
          <w:rFonts w:asciiTheme="minorEastAsia" w:hAnsiTheme="minorEastAsia"/>
          <w:sz w:val="24"/>
          <w:szCs w:val="24"/>
        </w:rPr>
        <w:t>劳动合同</w:t>
      </w:r>
      <w:r>
        <w:rPr>
          <w:rFonts w:hint="eastAsia" w:asciiTheme="minorEastAsia" w:hAnsiTheme="minorEastAsia"/>
          <w:sz w:val="24"/>
          <w:szCs w:val="24"/>
        </w:rPr>
        <w:t>签订</w:t>
      </w:r>
      <w:r>
        <w:rPr>
          <w:rFonts w:asciiTheme="minorEastAsia" w:hAnsiTheme="minorEastAsia"/>
          <w:sz w:val="24"/>
          <w:szCs w:val="24"/>
        </w:rPr>
        <w:t>率为</w:t>
      </w:r>
      <w:r>
        <w:rPr>
          <w:rFonts w:hint="eastAsia" w:asciiTheme="minorEastAsia" w:hAnsiTheme="minorEastAsia"/>
          <w:sz w:val="24"/>
          <w:szCs w:val="24"/>
        </w:rPr>
        <w:t>100</w:t>
      </w:r>
      <w:r>
        <w:rPr>
          <w:rFonts w:asciiTheme="minorEastAsia" w:hAnsiTheme="minorEastAsia"/>
          <w:sz w:val="24"/>
          <w:szCs w:val="24"/>
        </w:rPr>
        <w:t>%</w:t>
      </w:r>
      <w:r>
        <w:rPr>
          <w:rFonts w:hint="eastAsia" w:asciiTheme="minorEastAsia" w:hAnsiTheme="minorEastAsia"/>
          <w:sz w:val="24"/>
          <w:szCs w:val="24"/>
        </w:rPr>
        <w:t>，按法律规定要求为员工缴纳社保</w:t>
      </w:r>
      <w:r>
        <w:rPr>
          <w:rFonts w:asciiTheme="minorEastAsia" w:hAnsiTheme="minorEastAsia"/>
          <w:sz w:val="24"/>
          <w:szCs w:val="24"/>
        </w:rPr>
        <w:t>。</w:t>
      </w:r>
      <w:r>
        <w:rPr>
          <w:rFonts w:hint="eastAsia" w:asciiTheme="minorEastAsia" w:hAnsiTheme="minorEastAsia"/>
          <w:sz w:val="24"/>
          <w:szCs w:val="24"/>
        </w:rPr>
        <w:t>同时，员工享有外出学习、发放过</w:t>
      </w:r>
      <w:r>
        <w:rPr>
          <w:rFonts w:hint="eastAsia" w:cs="Times New Roman" w:asciiTheme="minorEastAsia" w:hAnsiTheme="minorEastAsia"/>
          <w:kern w:val="0"/>
          <w:sz w:val="24"/>
          <w:szCs w:val="24"/>
        </w:rPr>
        <w:t>节福利、防暑降温药品等福利。公司</w:t>
      </w:r>
      <w:r>
        <w:rPr>
          <w:rFonts w:cs="Times New Roman" w:asciiTheme="minorEastAsia" w:hAnsiTheme="minorEastAsia"/>
          <w:kern w:val="0"/>
          <w:sz w:val="24"/>
          <w:szCs w:val="24"/>
        </w:rPr>
        <w:t>不断完善员工反映问题和</w:t>
      </w:r>
      <w:r>
        <w:rPr>
          <w:rFonts w:hint="eastAsia" w:cs="Times New Roman" w:asciiTheme="minorEastAsia" w:hAnsiTheme="minorEastAsia"/>
          <w:kern w:val="0"/>
          <w:sz w:val="24"/>
          <w:szCs w:val="24"/>
        </w:rPr>
        <w:t>诉求</w:t>
      </w:r>
      <w:r>
        <w:rPr>
          <w:rFonts w:cs="Times New Roman" w:asciiTheme="minorEastAsia" w:hAnsiTheme="minorEastAsia"/>
          <w:kern w:val="0"/>
          <w:sz w:val="24"/>
          <w:szCs w:val="24"/>
        </w:rPr>
        <w:t>的渠道及处理机制，</w:t>
      </w:r>
      <w:r>
        <w:rPr>
          <w:rFonts w:hint="eastAsia" w:cs="Times New Roman" w:asciiTheme="minorEastAsia" w:hAnsiTheme="minorEastAsia"/>
          <w:kern w:val="0"/>
          <w:sz w:val="24"/>
          <w:szCs w:val="24"/>
        </w:rPr>
        <w:t>积极开展全体员工争提合理化建议活动。为此，公司专门在各部门设立了合理化建议信箱，每年对合理化建议进行评选，给建议者根据提案大小以适当的精神和物质奖励；</w:t>
      </w:r>
      <w:r>
        <w:rPr>
          <w:rFonts w:cs="Times New Roman" w:asciiTheme="minorEastAsia" w:hAnsiTheme="minorEastAsia"/>
          <w:kern w:val="0"/>
          <w:sz w:val="24"/>
          <w:szCs w:val="24"/>
        </w:rPr>
        <w:t>同时通过电话、微信</w:t>
      </w:r>
      <w:r>
        <w:rPr>
          <w:rFonts w:hint="eastAsia" w:cs="Times New Roman" w:asciiTheme="minorEastAsia" w:hAnsiTheme="minorEastAsia"/>
          <w:kern w:val="0"/>
          <w:sz w:val="24"/>
          <w:szCs w:val="24"/>
        </w:rPr>
        <w:t>等</w:t>
      </w:r>
      <w:r>
        <w:rPr>
          <w:rFonts w:cs="Times New Roman" w:asciiTheme="minorEastAsia" w:hAnsiTheme="minorEastAsia"/>
          <w:kern w:val="0"/>
          <w:sz w:val="24"/>
          <w:szCs w:val="24"/>
        </w:rPr>
        <w:t>渠道，反映</w:t>
      </w:r>
      <w:r>
        <w:rPr>
          <w:rFonts w:hint="eastAsia" w:cs="Times New Roman" w:asciiTheme="minorEastAsia" w:hAnsiTheme="minorEastAsia"/>
          <w:kern w:val="0"/>
          <w:sz w:val="24"/>
          <w:szCs w:val="24"/>
        </w:rPr>
        <w:t>他们</w:t>
      </w:r>
      <w:r>
        <w:rPr>
          <w:rFonts w:cs="Times New Roman" w:asciiTheme="minorEastAsia" w:hAnsiTheme="minorEastAsia"/>
          <w:kern w:val="0"/>
          <w:sz w:val="24"/>
          <w:szCs w:val="24"/>
        </w:rPr>
        <w:t>遇到或可能发生的问题。公司</w:t>
      </w:r>
      <w:r>
        <w:rPr>
          <w:rFonts w:hint="eastAsia" w:cs="Times New Roman" w:asciiTheme="minorEastAsia" w:hAnsiTheme="minorEastAsia"/>
          <w:kern w:val="0"/>
          <w:sz w:val="24"/>
          <w:szCs w:val="24"/>
        </w:rPr>
        <w:t>高度</w:t>
      </w:r>
      <w:r>
        <w:rPr>
          <w:rFonts w:cs="Times New Roman" w:asciiTheme="minorEastAsia" w:hAnsiTheme="minorEastAsia"/>
          <w:kern w:val="0"/>
          <w:sz w:val="24"/>
          <w:szCs w:val="24"/>
        </w:rPr>
        <w:t>重视员工申述</w:t>
      </w:r>
      <w:r>
        <w:rPr>
          <w:rFonts w:hint="eastAsia" w:cs="Times New Roman" w:asciiTheme="minorEastAsia" w:hAnsiTheme="minorEastAsia"/>
          <w:kern w:val="0"/>
          <w:sz w:val="24"/>
          <w:szCs w:val="24"/>
        </w:rPr>
        <w:t>事件</w:t>
      </w:r>
      <w:r>
        <w:rPr>
          <w:rFonts w:cs="Times New Roman" w:asciiTheme="minorEastAsia" w:hAnsiTheme="minorEastAsia"/>
          <w:kern w:val="0"/>
          <w:sz w:val="24"/>
          <w:szCs w:val="24"/>
        </w:rPr>
        <w:t>，保证处理程序正当、依据明确</w:t>
      </w:r>
      <w:r>
        <w:rPr>
          <w:rFonts w:hint="eastAsia" w:cs="Times New Roman" w:asciiTheme="minorEastAsia" w:hAnsiTheme="minorEastAsia"/>
          <w:kern w:val="0"/>
          <w:sz w:val="24"/>
          <w:szCs w:val="24"/>
        </w:rPr>
        <w:t>、</w:t>
      </w:r>
      <w:r>
        <w:rPr>
          <w:rFonts w:cs="Times New Roman" w:asciiTheme="minorEastAsia" w:hAnsiTheme="minorEastAsia"/>
          <w:kern w:val="0"/>
          <w:sz w:val="24"/>
          <w:szCs w:val="24"/>
        </w:rPr>
        <w:t>结果恰当，保障了员工的合法权益。</w:t>
      </w:r>
    </w:p>
    <w:p>
      <w:pPr>
        <w:topLinePunct/>
        <w:spacing w:line="360" w:lineRule="auto"/>
        <w:ind w:firstLine="480" w:firstLineChars="200"/>
        <w:rPr>
          <w:rFonts w:cs="Times New Roman" w:asciiTheme="minorEastAsia" w:hAnsiTheme="minorEastAsia"/>
          <w:kern w:val="0"/>
          <w:sz w:val="24"/>
          <w:szCs w:val="24"/>
        </w:rPr>
      </w:pPr>
      <w:r>
        <w:rPr>
          <w:rFonts w:cs="Times New Roman" w:asciiTheme="minorEastAsia" w:hAnsiTheme="minorEastAsia"/>
          <w:kern w:val="0"/>
          <w:sz w:val="24"/>
          <w:szCs w:val="24"/>
        </w:rPr>
        <w:t>公司还特别关注一些特殊群体的需求，如关注女性员工的工作环境、工作时间、工作强度以及长期性的职业发展、公平机会等因素；针对现在越来越多的90后群体的特质给予更多的关注，为其制定职业生涯规划，明确发展通道，开展师带徒手把手指导和专项培训，给予更高工作目标，提高其业务技能和个体素质</w:t>
      </w:r>
      <w:r>
        <w:rPr>
          <w:rFonts w:hint="eastAsia" w:cs="Times New Roman" w:asciiTheme="minorEastAsia" w:hAnsiTheme="minorEastAsia"/>
          <w:kern w:val="0"/>
          <w:sz w:val="24"/>
          <w:szCs w:val="24"/>
        </w:rPr>
        <w:t>。公司</w:t>
      </w:r>
      <w:r>
        <w:rPr>
          <w:rFonts w:cs="Times New Roman" w:asciiTheme="minorEastAsia" w:hAnsiTheme="minorEastAsia"/>
          <w:kern w:val="0"/>
          <w:sz w:val="24"/>
          <w:szCs w:val="24"/>
        </w:rPr>
        <w:t>视员工为亲人，不断提升员工归属感。</w:t>
      </w:r>
    </w:p>
    <w:p>
      <w:pPr>
        <w:topLinePunct/>
        <w:spacing w:line="360" w:lineRule="auto"/>
        <w:ind w:firstLine="480" w:firstLineChars="200"/>
        <w:rPr>
          <w:rFonts w:cs="Times New Roman" w:asciiTheme="minorEastAsia" w:hAnsiTheme="minorEastAsia"/>
          <w:kern w:val="0"/>
          <w:sz w:val="24"/>
          <w:szCs w:val="24"/>
          <w:highlight w:val="yellow"/>
        </w:rPr>
      </w:pPr>
      <w:r>
        <w:rPr>
          <w:rFonts w:cs="Times New Roman" w:asciiTheme="minorEastAsia" w:hAnsiTheme="minorEastAsia"/>
          <w:kern w:val="0"/>
          <w:sz w:val="24"/>
          <w:szCs w:val="24"/>
          <w:highlight w:val="none"/>
        </w:rPr>
        <w:t>公司通过各种方式，如</w:t>
      </w:r>
      <w:r>
        <w:rPr>
          <w:rFonts w:hint="eastAsia" w:cs="Times New Roman" w:asciiTheme="minorEastAsia" w:hAnsiTheme="minorEastAsia"/>
          <w:kern w:val="0"/>
          <w:sz w:val="24"/>
          <w:szCs w:val="24"/>
          <w:highlight w:val="none"/>
        </w:rPr>
        <w:t>运动会、户外拓展、</w:t>
      </w:r>
      <w:r>
        <w:rPr>
          <w:rFonts w:cs="Times New Roman" w:asciiTheme="minorEastAsia" w:hAnsiTheme="minorEastAsia"/>
          <w:kern w:val="0"/>
          <w:sz w:val="24"/>
          <w:szCs w:val="24"/>
          <w:highlight w:val="none"/>
        </w:rPr>
        <w:t>技能竞赛、</w:t>
      </w:r>
      <w:r>
        <w:rPr>
          <w:rFonts w:hint="eastAsia" w:cs="Times New Roman" w:asciiTheme="minorEastAsia" w:hAnsiTheme="minorEastAsia"/>
          <w:kern w:val="0"/>
          <w:sz w:val="24"/>
          <w:szCs w:val="24"/>
          <w:highlight w:val="none"/>
        </w:rPr>
        <w:t>表彰大会</w:t>
      </w:r>
      <w:r>
        <w:rPr>
          <w:rFonts w:cs="Times New Roman" w:asciiTheme="minorEastAsia" w:hAnsiTheme="minorEastAsia"/>
          <w:kern w:val="0"/>
          <w:sz w:val="24"/>
          <w:szCs w:val="24"/>
          <w:highlight w:val="none"/>
        </w:rPr>
        <w:t>等，丰富员工的工作和业余生活，构造和谐工作环境，激发员工爱心、积极性和创造性，促进公司和谐发展。公司还</w:t>
      </w:r>
      <w:r>
        <w:rPr>
          <w:rFonts w:hint="eastAsia" w:cs="Times New Roman" w:asciiTheme="minorEastAsia" w:hAnsiTheme="minorEastAsia"/>
          <w:kern w:val="0"/>
          <w:sz w:val="24"/>
          <w:szCs w:val="24"/>
          <w:highlight w:val="none"/>
        </w:rPr>
        <w:t>设立</w:t>
      </w:r>
      <w:r>
        <w:rPr>
          <w:rFonts w:cs="Times New Roman" w:asciiTheme="minorEastAsia" w:hAnsiTheme="minorEastAsia"/>
          <w:kern w:val="0"/>
          <w:sz w:val="24"/>
          <w:szCs w:val="24"/>
          <w:highlight w:val="none"/>
        </w:rPr>
        <w:t>了篮球场、</w:t>
      </w:r>
      <w:r>
        <w:rPr>
          <w:rFonts w:hint="eastAsia" w:cs="Times New Roman" w:asciiTheme="minorEastAsia" w:hAnsiTheme="minorEastAsia"/>
          <w:kern w:val="0"/>
          <w:sz w:val="24"/>
          <w:szCs w:val="24"/>
          <w:highlight w:val="none"/>
        </w:rPr>
        <w:t>开放式多功能活动厅等</w:t>
      </w:r>
      <w:r>
        <w:rPr>
          <w:rFonts w:cs="Times New Roman" w:asciiTheme="minorEastAsia" w:hAnsiTheme="minorEastAsia"/>
          <w:kern w:val="0"/>
          <w:sz w:val="24"/>
          <w:szCs w:val="24"/>
          <w:highlight w:val="none"/>
        </w:rPr>
        <w:t>，满足员工多层次需求，让员工真正感受到大家庭带来的快乐和温馨。</w:t>
      </w:r>
    </w:p>
    <w:tbl>
      <w:tblPr>
        <w:tblStyle w:val="38"/>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58"/>
        <w:gridCol w:w="42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5" w:hRule="atLeast"/>
        </w:trPr>
        <w:tc>
          <w:tcPr>
            <w:tcW w:w="4058" w:type="dxa"/>
          </w:tcPr>
          <w:p>
            <w:pPr>
              <w:spacing w:line="360" w:lineRule="auto"/>
              <w:rPr>
                <w:rFonts w:ascii="宋体" w:hAnsi="宋体"/>
                <w:sz w:val="24"/>
              </w:rPr>
            </w:pPr>
            <w:r>
              <w:rPr>
                <w:rFonts w:ascii="宋体" w:hAnsi="宋体"/>
                <w:sz w:val="24"/>
              </w:rPr>
              <w:drawing>
                <wp:anchor distT="0" distB="0" distL="114300" distR="114300" simplePos="0" relativeHeight="251660288" behindDoc="0" locked="0" layoutInCell="1" allowOverlap="1">
                  <wp:simplePos x="0" y="0"/>
                  <wp:positionH relativeFrom="column">
                    <wp:posOffset>-56515</wp:posOffset>
                  </wp:positionH>
                  <wp:positionV relativeFrom="paragraph">
                    <wp:posOffset>123190</wp:posOffset>
                  </wp:positionV>
                  <wp:extent cx="2590800" cy="2079625"/>
                  <wp:effectExtent l="0" t="0" r="0" b="635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590800" cy="2079625"/>
                          </a:xfrm>
                          <a:prstGeom prst="rect">
                            <a:avLst/>
                          </a:prstGeom>
                          <a:noFill/>
                          <a:ln>
                            <a:noFill/>
                          </a:ln>
                        </pic:spPr>
                      </pic:pic>
                    </a:graphicData>
                  </a:graphic>
                </wp:anchor>
              </w:drawing>
            </w:r>
          </w:p>
        </w:tc>
        <w:tc>
          <w:tcPr>
            <w:tcW w:w="4238" w:type="dxa"/>
          </w:tcPr>
          <w:p>
            <w:pPr>
              <w:spacing w:line="360" w:lineRule="auto"/>
              <w:rPr>
                <w:rFonts w:ascii="宋体" w:hAnsi="宋体"/>
                <w:sz w:val="24"/>
              </w:rPr>
            </w:pPr>
            <w:r>
              <w:rPr>
                <w:rFonts w:ascii="宋体" w:hAnsi="宋体"/>
                <w:sz w:val="24"/>
              </w:rPr>
              <w:drawing>
                <wp:anchor distT="0" distB="0" distL="114300" distR="114300" simplePos="0" relativeHeight="251661312" behindDoc="0" locked="0" layoutInCell="1" allowOverlap="1">
                  <wp:simplePos x="0" y="0"/>
                  <wp:positionH relativeFrom="column">
                    <wp:posOffset>-65405</wp:posOffset>
                  </wp:positionH>
                  <wp:positionV relativeFrom="paragraph">
                    <wp:posOffset>0</wp:posOffset>
                  </wp:positionV>
                  <wp:extent cx="2712720" cy="2247900"/>
                  <wp:effectExtent l="0" t="0" r="1905" b="0"/>
                  <wp:wrapTopAndBottom/>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712720" cy="22479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gridSpan w:val="2"/>
          </w:tcPr>
          <w:p>
            <w:pPr>
              <w:spacing w:line="360" w:lineRule="auto"/>
              <w:jc w:val="center"/>
              <w:rPr>
                <w:rFonts w:ascii="宋体" w:hAnsi="宋体"/>
                <w:b/>
                <w:bCs/>
                <w:sz w:val="24"/>
              </w:rPr>
            </w:pPr>
            <w:r>
              <w:rPr>
                <w:rFonts w:hint="eastAsia" w:ascii="宋体" w:hAnsi="宋体"/>
                <w:b/>
                <w:bCs/>
                <w:sz w:val="24"/>
              </w:rPr>
              <w:t>旅游活动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8" w:type="dxa"/>
          </w:tcPr>
          <w:p>
            <w:pPr>
              <w:spacing w:line="360" w:lineRule="auto"/>
              <w:rPr>
                <w:rFonts w:ascii="宋体" w:hAnsi="宋体"/>
                <w:sz w:val="24"/>
              </w:rPr>
            </w:pPr>
            <w:r>
              <w:rPr>
                <w:rFonts w:hint="eastAsia" w:ascii="宋体" w:hAnsi="宋体"/>
                <w:sz w:val="24"/>
              </w:rPr>
              <w:drawing>
                <wp:anchor distT="0" distB="0" distL="114300" distR="114300" simplePos="0" relativeHeight="251664384" behindDoc="0" locked="0" layoutInCell="1" allowOverlap="1">
                  <wp:simplePos x="0" y="0"/>
                  <wp:positionH relativeFrom="column">
                    <wp:posOffset>-28575</wp:posOffset>
                  </wp:positionH>
                  <wp:positionV relativeFrom="paragraph">
                    <wp:posOffset>102870</wp:posOffset>
                  </wp:positionV>
                  <wp:extent cx="2529840" cy="2026920"/>
                  <wp:effectExtent l="0" t="0" r="3810" b="1905"/>
                  <wp:wrapTopAndBottom/>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529840" cy="2026920"/>
                          </a:xfrm>
                          <a:prstGeom prst="rect">
                            <a:avLst/>
                          </a:prstGeom>
                          <a:noFill/>
                        </pic:spPr>
                      </pic:pic>
                    </a:graphicData>
                  </a:graphic>
                </wp:anchor>
              </w:drawing>
            </w:r>
          </w:p>
        </w:tc>
        <w:tc>
          <w:tcPr>
            <w:tcW w:w="4238" w:type="dxa"/>
          </w:tcPr>
          <w:p>
            <w:pPr>
              <w:spacing w:line="360" w:lineRule="auto"/>
              <w:rPr>
                <w:rFonts w:ascii="宋体" w:hAnsi="宋体"/>
                <w:sz w:val="24"/>
              </w:rPr>
            </w:pPr>
            <w:r>
              <w:rPr>
                <w:rFonts w:hint="eastAsia" w:ascii="宋体" w:hAnsi="宋体"/>
                <w:sz w:val="24"/>
              </w:rPr>
              <w:drawing>
                <wp:anchor distT="0" distB="0" distL="114300" distR="114300" simplePos="0" relativeHeight="251665408" behindDoc="0" locked="0" layoutInCell="1" allowOverlap="1">
                  <wp:simplePos x="0" y="0"/>
                  <wp:positionH relativeFrom="column">
                    <wp:posOffset>3175</wp:posOffset>
                  </wp:positionH>
                  <wp:positionV relativeFrom="paragraph">
                    <wp:posOffset>156210</wp:posOffset>
                  </wp:positionV>
                  <wp:extent cx="2613025" cy="1965960"/>
                  <wp:effectExtent l="0" t="0" r="6350" b="5715"/>
                  <wp:wrapTopAndBottom/>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613025" cy="1965960"/>
                          </a:xfrm>
                          <a:prstGeom prst="rect">
                            <a:avLst/>
                          </a:prstGeom>
                          <a:noFill/>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8" w:type="dxa"/>
          </w:tcPr>
          <w:p>
            <w:pPr>
              <w:spacing w:line="360" w:lineRule="auto"/>
              <w:jc w:val="center"/>
              <w:rPr>
                <w:rFonts w:ascii="宋体" w:hAnsi="宋体"/>
                <w:b/>
                <w:bCs/>
                <w:sz w:val="24"/>
              </w:rPr>
            </w:pPr>
            <w:r>
              <w:rPr>
                <w:rFonts w:hint="eastAsia" w:ascii="宋体" w:hAnsi="宋体"/>
                <w:b/>
                <w:bCs/>
                <w:sz w:val="24"/>
              </w:rPr>
              <w:t>乒乓球比赛</w:t>
            </w:r>
          </w:p>
        </w:tc>
        <w:tc>
          <w:tcPr>
            <w:tcW w:w="4238" w:type="dxa"/>
          </w:tcPr>
          <w:p>
            <w:pPr>
              <w:spacing w:line="360" w:lineRule="auto"/>
              <w:jc w:val="center"/>
              <w:rPr>
                <w:rFonts w:ascii="宋体" w:hAnsi="宋体"/>
                <w:b/>
                <w:bCs/>
                <w:sz w:val="24"/>
              </w:rPr>
            </w:pPr>
            <w:r>
              <w:rPr>
                <w:rFonts w:hint="eastAsia" w:ascii="宋体" w:hAnsi="宋体"/>
                <w:b/>
                <w:bCs/>
                <w:sz w:val="24"/>
              </w:rPr>
              <w:t>拔河比赛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8" w:type="dxa"/>
          </w:tcPr>
          <w:p>
            <w:pPr>
              <w:spacing w:line="360" w:lineRule="auto"/>
              <w:rPr>
                <w:rFonts w:ascii="宋体" w:hAnsi="宋体"/>
                <w:sz w:val="24"/>
              </w:rPr>
            </w:pPr>
            <w:r>
              <w:rPr>
                <w:rFonts w:hint="eastAsia" w:ascii="宋体" w:hAnsi="宋体"/>
                <w:sz w:val="24"/>
              </w:rPr>
              <w:drawing>
                <wp:anchor distT="0" distB="0" distL="114300" distR="114300" simplePos="0" relativeHeight="251667456" behindDoc="0" locked="0" layoutInCell="1" allowOverlap="1">
                  <wp:simplePos x="0" y="0"/>
                  <wp:positionH relativeFrom="column">
                    <wp:posOffset>-26035</wp:posOffset>
                  </wp:positionH>
                  <wp:positionV relativeFrom="paragraph">
                    <wp:posOffset>193040</wp:posOffset>
                  </wp:positionV>
                  <wp:extent cx="2446020" cy="1550670"/>
                  <wp:effectExtent l="0" t="0" r="1905" b="1905"/>
                  <wp:wrapTopAndBottom/>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446020" cy="1550670"/>
                          </a:xfrm>
                          <a:prstGeom prst="rect">
                            <a:avLst/>
                          </a:prstGeom>
                          <a:noFill/>
                        </pic:spPr>
                      </pic:pic>
                    </a:graphicData>
                  </a:graphic>
                </wp:anchor>
              </w:drawing>
            </w:r>
          </w:p>
        </w:tc>
        <w:tc>
          <w:tcPr>
            <w:tcW w:w="4238" w:type="dxa"/>
          </w:tcPr>
          <w:p>
            <w:pPr>
              <w:spacing w:line="360" w:lineRule="auto"/>
              <w:rPr>
                <w:rFonts w:ascii="宋体" w:hAnsi="宋体"/>
                <w:sz w:val="24"/>
              </w:rPr>
            </w:pPr>
            <w:r>
              <w:rPr>
                <w:rFonts w:hint="eastAsia" w:ascii="宋体" w:hAnsi="宋体"/>
                <w:sz w:val="24"/>
              </w:rPr>
              <w:drawing>
                <wp:anchor distT="0" distB="0" distL="114300" distR="114300" simplePos="0" relativeHeight="251666432" behindDoc="0" locked="0" layoutInCell="1" allowOverlap="1">
                  <wp:simplePos x="0" y="0"/>
                  <wp:positionH relativeFrom="column">
                    <wp:posOffset>-23495</wp:posOffset>
                  </wp:positionH>
                  <wp:positionV relativeFrom="paragraph">
                    <wp:posOffset>0</wp:posOffset>
                  </wp:positionV>
                  <wp:extent cx="2613660" cy="1741170"/>
                  <wp:effectExtent l="0" t="0" r="5715" b="1905"/>
                  <wp:wrapTopAndBottom/>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615903" cy="1742703"/>
                          </a:xfrm>
                          <a:prstGeom prst="rect">
                            <a:avLst/>
                          </a:prstGeom>
                          <a:noFill/>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8" w:type="dxa"/>
          </w:tcPr>
          <w:p>
            <w:pPr>
              <w:spacing w:line="360" w:lineRule="auto"/>
              <w:jc w:val="center"/>
              <w:rPr>
                <w:rFonts w:ascii="宋体" w:hAnsi="宋体"/>
                <w:b/>
                <w:bCs/>
                <w:sz w:val="24"/>
              </w:rPr>
            </w:pPr>
            <w:r>
              <w:rPr>
                <w:rFonts w:hint="eastAsia" w:ascii="宋体" w:hAnsi="宋体"/>
                <w:b/>
                <w:bCs/>
                <w:sz w:val="24"/>
              </w:rPr>
              <w:t>公司篮球赛</w:t>
            </w:r>
          </w:p>
        </w:tc>
        <w:tc>
          <w:tcPr>
            <w:tcW w:w="4238" w:type="dxa"/>
          </w:tcPr>
          <w:p>
            <w:pPr>
              <w:spacing w:line="360" w:lineRule="auto"/>
              <w:jc w:val="center"/>
              <w:rPr>
                <w:rFonts w:ascii="宋体" w:hAnsi="宋体"/>
                <w:b/>
                <w:bCs/>
                <w:sz w:val="24"/>
              </w:rPr>
            </w:pPr>
            <w:r>
              <w:rPr>
                <w:rFonts w:hint="eastAsia" w:ascii="宋体" w:hAnsi="宋体"/>
                <w:b/>
                <w:bCs/>
                <w:sz w:val="24"/>
              </w:rPr>
              <w:t>员工体检</w:t>
            </w:r>
          </w:p>
        </w:tc>
      </w:tr>
    </w:tbl>
    <w:p>
      <w:pPr>
        <w:spacing w:line="360" w:lineRule="auto"/>
        <w:ind w:firstLine="435"/>
        <w:rPr>
          <w:rFonts w:ascii="宋体" w:hAnsi="宋体"/>
          <w:b/>
          <w:sz w:val="24"/>
        </w:rPr>
      </w:pPr>
      <w:r>
        <w:t xml:space="preserve"> </w:t>
      </w:r>
      <w:r>
        <w:rPr>
          <w:rFonts w:hint="eastAsia" w:ascii="宋体" w:hAnsi="宋体"/>
          <w:sz w:val="24"/>
        </w:rPr>
        <w:t>公司历年来通过了解员工的意见与建议，把可能对员工自身或工作造成较大影响的因素确定为影响员工权益、满意度和积极性的关键因素。</w:t>
      </w:r>
    </w:p>
    <w:p>
      <w:pPr>
        <w:spacing w:line="360" w:lineRule="auto"/>
        <w:ind w:firstLine="437"/>
        <w:jc w:val="center"/>
        <w:rPr>
          <w:rFonts w:ascii="宋体" w:hAnsi="宋体"/>
          <w:b/>
          <w:sz w:val="24"/>
        </w:rPr>
      </w:pPr>
      <w:r>
        <w:rPr>
          <w:rFonts w:hint="eastAsia" w:ascii="宋体" w:hAnsi="宋体"/>
          <w:b/>
          <w:sz w:val="24"/>
        </w:rPr>
        <w:t>图表</w:t>
      </w:r>
      <w:r>
        <w:rPr>
          <w:rFonts w:ascii="宋体" w:hAnsi="宋体"/>
          <w:b/>
          <w:sz w:val="24"/>
        </w:rPr>
        <w:t>4.</w:t>
      </w:r>
      <w:r>
        <w:rPr>
          <w:rFonts w:hint="eastAsia" w:ascii="宋体" w:hAnsi="宋体"/>
          <w:b/>
          <w:sz w:val="24"/>
          <w:lang w:val="en-US" w:eastAsia="zh-CN"/>
        </w:rPr>
        <w:t>2</w:t>
      </w:r>
      <w:r>
        <w:rPr>
          <w:rFonts w:ascii="宋体" w:hAnsi="宋体"/>
          <w:b/>
          <w:sz w:val="24"/>
        </w:rPr>
        <w:t>.</w:t>
      </w:r>
      <w:r>
        <w:rPr>
          <w:rFonts w:hint="eastAsia" w:ascii="宋体" w:hAnsi="宋体"/>
          <w:b/>
          <w:sz w:val="24"/>
          <w:lang w:val="en-US" w:eastAsia="zh-CN"/>
        </w:rPr>
        <w:t>1</w:t>
      </w:r>
      <w:r>
        <w:rPr>
          <w:rFonts w:hint="eastAsia" w:ascii="宋体" w:hAnsi="宋体"/>
          <w:b/>
          <w:sz w:val="24"/>
        </w:rPr>
        <w:t xml:space="preserve"> 影响员工满意度的关键因素及对策</w:t>
      </w:r>
    </w:p>
    <w:tbl>
      <w:tblPr>
        <w:tblStyle w:val="37"/>
        <w:tblW w:w="9049"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262"/>
        <w:gridCol w:w="1146"/>
        <w:gridCol w:w="2626"/>
        <w:gridCol w:w="301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0" w:hRule="atLeast"/>
          <w:tblHeader/>
        </w:trPr>
        <w:tc>
          <w:tcPr>
            <w:tcW w:w="2262" w:type="dxa"/>
            <w:vAlign w:val="center"/>
          </w:tcPr>
          <w:p>
            <w:pPr>
              <w:jc w:val="center"/>
              <w:rPr>
                <w:rFonts w:ascii="宋体" w:hAnsi="宋体"/>
                <w:b/>
              </w:rPr>
            </w:pPr>
            <w:r>
              <w:rPr>
                <w:rFonts w:hint="eastAsia" w:ascii="宋体" w:hAnsi="宋体"/>
                <w:b/>
              </w:rPr>
              <w:t>关键因素</w:t>
            </w:r>
          </w:p>
        </w:tc>
        <w:tc>
          <w:tcPr>
            <w:tcW w:w="1146" w:type="dxa"/>
            <w:vAlign w:val="center"/>
          </w:tcPr>
          <w:p>
            <w:pPr>
              <w:jc w:val="center"/>
              <w:rPr>
                <w:rFonts w:ascii="宋体" w:hAnsi="宋体"/>
                <w:b/>
              </w:rPr>
            </w:pPr>
            <w:r>
              <w:rPr>
                <w:rFonts w:hint="eastAsia" w:ascii="宋体" w:hAnsi="宋体"/>
                <w:b/>
              </w:rPr>
              <w:t>影响对象</w:t>
            </w:r>
          </w:p>
        </w:tc>
        <w:tc>
          <w:tcPr>
            <w:tcW w:w="2626" w:type="dxa"/>
            <w:vAlign w:val="center"/>
          </w:tcPr>
          <w:p>
            <w:pPr>
              <w:jc w:val="center"/>
              <w:rPr>
                <w:rFonts w:ascii="宋体" w:hAnsi="宋体"/>
                <w:b/>
              </w:rPr>
            </w:pPr>
            <w:r>
              <w:rPr>
                <w:rFonts w:hint="eastAsia" w:ascii="宋体" w:hAnsi="宋体"/>
                <w:b/>
              </w:rPr>
              <w:t>可能的影响</w:t>
            </w:r>
          </w:p>
        </w:tc>
        <w:tc>
          <w:tcPr>
            <w:tcW w:w="3015" w:type="dxa"/>
            <w:vAlign w:val="center"/>
          </w:tcPr>
          <w:p>
            <w:pPr>
              <w:jc w:val="center"/>
              <w:rPr>
                <w:rFonts w:ascii="宋体" w:hAnsi="宋体"/>
                <w:b/>
              </w:rPr>
            </w:pPr>
            <w:r>
              <w:rPr>
                <w:rFonts w:hint="eastAsia" w:ascii="宋体" w:hAnsi="宋体"/>
                <w:b/>
              </w:rPr>
              <w:t>对策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4" w:hRule="atLeast"/>
        </w:trPr>
        <w:tc>
          <w:tcPr>
            <w:tcW w:w="2262" w:type="dxa"/>
            <w:vAlign w:val="center"/>
          </w:tcPr>
          <w:p>
            <w:pPr>
              <w:spacing w:line="0" w:lineRule="atLeast"/>
              <w:jc w:val="center"/>
              <w:rPr>
                <w:rFonts w:ascii="宋体" w:hAnsi="宋体"/>
                <w:sz w:val="18"/>
                <w:szCs w:val="18"/>
              </w:rPr>
            </w:pPr>
            <w:r>
              <w:rPr>
                <w:rFonts w:hint="eastAsia" w:ascii="宋体" w:hAnsi="宋体"/>
                <w:sz w:val="18"/>
                <w:szCs w:val="18"/>
              </w:rPr>
              <w:t>薪酬、福利</w:t>
            </w:r>
          </w:p>
        </w:tc>
        <w:tc>
          <w:tcPr>
            <w:tcW w:w="1146" w:type="dxa"/>
            <w:vMerge w:val="restart"/>
            <w:vAlign w:val="center"/>
          </w:tcPr>
          <w:p>
            <w:pPr>
              <w:spacing w:line="0" w:lineRule="atLeast"/>
              <w:jc w:val="center"/>
              <w:rPr>
                <w:rFonts w:ascii="宋体" w:hAnsi="宋体"/>
                <w:sz w:val="18"/>
                <w:szCs w:val="18"/>
              </w:rPr>
            </w:pPr>
            <w:r>
              <w:rPr>
                <w:rFonts w:hint="eastAsia" w:ascii="宋体" w:hAnsi="宋体"/>
                <w:sz w:val="18"/>
                <w:szCs w:val="18"/>
              </w:rPr>
              <w:t>生产操作人员</w:t>
            </w:r>
          </w:p>
        </w:tc>
        <w:tc>
          <w:tcPr>
            <w:tcW w:w="2626" w:type="dxa"/>
            <w:vAlign w:val="center"/>
          </w:tcPr>
          <w:p>
            <w:pPr>
              <w:spacing w:line="0" w:lineRule="atLeast"/>
              <w:jc w:val="left"/>
              <w:rPr>
                <w:rFonts w:ascii="宋体" w:hAnsi="宋体"/>
                <w:sz w:val="18"/>
                <w:szCs w:val="18"/>
              </w:rPr>
            </w:pPr>
            <w:r>
              <w:rPr>
                <w:rFonts w:hint="eastAsia" w:ascii="宋体" w:hAnsi="宋体"/>
                <w:sz w:val="18"/>
                <w:szCs w:val="18"/>
              </w:rPr>
              <w:t>满意度、工作积极性</w:t>
            </w:r>
          </w:p>
        </w:tc>
        <w:tc>
          <w:tcPr>
            <w:tcW w:w="3015" w:type="dxa"/>
            <w:vAlign w:val="center"/>
          </w:tcPr>
          <w:p>
            <w:pPr>
              <w:spacing w:line="0" w:lineRule="atLeast"/>
              <w:rPr>
                <w:rFonts w:ascii="宋体" w:hAnsi="宋体"/>
                <w:sz w:val="18"/>
                <w:szCs w:val="18"/>
              </w:rPr>
            </w:pPr>
            <w:r>
              <w:rPr>
                <w:rFonts w:hint="eastAsia" w:ascii="宋体" w:hAnsi="宋体"/>
                <w:sz w:val="18"/>
                <w:szCs w:val="18"/>
              </w:rPr>
              <w:t>公正合理的薪酬体系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8" w:hRule="atLeast"/>
        </w:trPr>
        <w:tc>
          <w:tcPr>
            <w:tcW w:w="2262" w:type="dxa"/>
            <w:vAlign w:val="center"/>
          </w:tcPr>
          <w:p>
            <w:pPr>
              <w:spacing w:line="0" w:lineRule="atLeast"/>
              <w:jc w:val="center"/>
              <w:rPr>
                <w:rFonts w:ascii="宋体" w:hAnsi="宋体"/>
                <w:sz w:val="18"/>
                <w:szCs w:val="18"/>
              </w:rPr>
            </w:pPr>
            <w:r>
              <w:rPr>
                <w:rFonts w:hint="eastAsia" w:ascii="宋体" w:hAnsi="宋体"/>
                <w:sz w:val="18"/>
                <w:szCs w:val="18"/>
              </w:rPr>
              <w:t>劳动强度、温度、</w:t>
            </w:r>
          </w:p>
          <w:p>
            <w:pPr>
              <w:spacing w:line="0" w:lineRule="atLeast"/>
              <w:jc w:val="center"/>
              <w:rPr>
                <w:rFonts w:ascii="宋体" w:hAnsi="宋体"/>
                <w:sz w:val="18"/>
                <w:szCs w:val="18"/>
              </w:rPr>
            </w:pPr>
            <w:r>
              <w:rPr>
                <w:rFonts w:hint="eastAsia" w:ascii="宋体" w:hAnsi="宋体"/>
                <w:sz w:val="18"/>
                <w:szCs w:val="18"/>
              </w:rPr>
              <w:t>粉尘</w:t>
            </w:r>
          </w:p>
        </w:tc>
        <w:tc>
          <w:tcPr>
            <w:tcW w:w="1146" w:type="dxa"/>
            <w:vMerge w:val="continue"/>
            <w:vAlign w:val="center"/>
          </w:tcPr>
          <w:p>
            <w:pPr>
              <w:spacing w:line="0" w:lineRule="atLeast"/>
              <w:jc w:val="center"/>
              <w:rPr>
                <w:rFonts w:ascii="宋体" w:hAnsi="宋体"/>
                <w:sz w:val="18"/>
                <w:szCs w:val="18"/>
              </w:rPr>
            </w:pPr>
          </w:p>
        </w:tc>
        <w:tc>
          <w:tcPr>
            <w:tcW w:w="2626" w:type="dxa"/>
            <w:vAlign w:val="center"/>
          </w:tcPr>
          <w:p>
            <w:pPr>
              <w:spacing w:line="0" w:lineRule="atLeast"/>
              <w:jc w:val="left"/>
              <w:rPr>
                <w:rFonts w:ascii="宋体" w:hAnsi="宋体"/>
                <w:sz w:val="18"/>
                <w:szCs w:val="18"/>
              </w:rPr>
            </w:pPr>
            <w:r>
              <w:rPr>
                <w:rFonts w:hint="eastAsia" w:ascii="宋体" w:hAnsi="宋体"/>
                <w:sz w:val="18"/>
                <w:szCs w:val="18"/>
              </w:rPr>
              <w:t>身体健康、满意度</w:t>
            </w:r>
          </w:p>
        </w:tc>
        <w:tc>
          <w:tcPr>
            <w:tcW w:w="3015" w:type="dxa"/>
            <w:vAlign w:val="center"/>
          </w:tcPr>
          <w:p>
            <w:pPr>
              <w:spacing w:line="0" w:lineRule="atLeast"/>
              <w:rPr>
                <w:rFonts w:ascii="宋体" w:hAnsi="宋体"/>
                <w:sz w:val="18"/>
                <w:szCs w:val="18"/>
              </w:rPr>
            </w:pPr>
            <w:r>
              <w:rPr>
                <w:rFonts w:hint="eastAsia" w:ascii="宋体" w:hAnsi="宋体"/>
                <w:sz w:val="18"/>
                <w:szCs w:val="18"/>
              </w:rPr>
              <w:t>改进工艺、改善工作环境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7" w:hRule="atLeast"/>
        </w:trPr>
        <w:tc>
          <w:tcPr>
            <w:tcW w:w="2262" w:type="dxa"/>
            <w:vAlign w:val="center"/>
          </w:tcPr>
          <w:p>
            <w:pPr>
              <w:spacing w:line="0" w:lineRule="atLeast"/>
              <w:jc w:val="center"/>
              <w:rPr>
                <w:rFonts w:ascii="宋体" w:hAnsi="宋体"/>
                <w:sz w:val="18"/>
                <w:szCs w:val="18"/>
              </w:rPr>
            </w:pPr>
            <w:r>
              <w:rPr>
                <w:rFonts w:hint="eastAsia" w:ascii="宋体" w:hAnsi="宋体"/>
                <w:sz w:val="18"/>
                <w:szCs w:val="18"/>
              </w:rPr>
              <w:t>薪酬、福利</w:t>
            </w:r>
          </w:p>
        </w:tc>
        <w:tc>
          <w:tcPr>
            <w:tcW w:w="1146" w:type="dxa"/>
            <w:vMerge w:val="restart"/>
            <w:vAlign w:val="center"/>
          </w:tcPr>
          <w:p>
            <w:pPr>
              <w:spacing w:line="0" w:lineRule="atLeast"/>
              <w:jc w:val="center"/>
              <w:rPr>
                <w:rFonts w:ascii="宋体" w:hAnsi="宋体"/>
                <w:sz w:val="18"/>
                <w:szCs w:val="18"/>
              </w:rPr>
            </w:pPr>
            <w:r>
              <w:rPr>
                <w:rFonts w:hint="eastAsia" w:ascii="宋体" w:hAnsi="宋体"/>
                <w:sz w:val="18"/>
                <w:szCs w:val="18"/>
              </w:rPr>
              <w:t>初、中级管理人员</w:t>
            </w:r>
          </w:p>
        </w:tc>
        <w:tc>
          <w:tcPr>
            <w:tcW w:w="2626" w:type="dxa"/>
            <w:vAlign w:val="center"/>
          </w:tcPr>
          <w:p>
            <w:pPr>
              <w:spacing w:line="0" w:lineRule="atLeast"/>
              <w:jc w:val="left"/>
              <w:rPr>
                <w:rFonts w:ascii="宋体" w:hAnsi="宋体"/>
                <w:sz w:val="18"/>
                <w:szCs w:val="18"/>
              </w:rPr>
            </w:pPr>
            <w:r>
              <w:rPr>
                <w:rFonts w:hint="eastAsia" w:ascii="宋体" w:hAnsi="宋体"/>
                <w:sz w:val="18"/>
                <w:szCs w:val="18"/>
              </w:rPr>
              <w:t>满意度、工作积极性</w:t>
            </w:r>
          </w:p>
        </w:tc>
        <w:tc>
          <w:tcPr>
            <w:tcW w:w="3015" w:type="dxa"/>
            <w:vAlign w:val="center"/>
          </w:tcPr>
          <w:p>
            <w:pPr>
              <w:spacing w:line="0" w:lineRule="atLeast"/>
              <w:rPr>
                <w:rFonts w:ascii="宋体" w:hAnsi="宋体"/>
                <w:sz w:val="18"/>
                <w:szCs w:val="18"/>
              </w:rPr>
            </w:pPr>
            <w:r>
              <w:rPr>
                <w:rFonts w:hint="eastAsia" w:ascii="宋体" w:hAnsi="宋体"/>
                <w:sz w:val="18"/>
                <w:szCs w:val="18"/>
              </w:rPr>
              <w:t>公正合理的薪酬体系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7" w:hRule="atLeast"/>
        </w:trPr>
        <w:tc>
          <w:tcPr>
            <w:tcW w:w="2262" w:type="dxa"/>
            <w:vAlign w:val="center"/>
          </w:tcPr>
          <w:p>
            <w:pPr>
              <w:spacing w:line="0" w:lineRule="atLeast"/>
              <w:jc w:val="center"/>
              <w:rPr>
                <w:rFonts w:ascii="宋体" w:hAnsi="宋体"/>
                <w:sz w:val="18"/>
                <w:szCs w:val="18"/>
              </w:rPr>
            </w:pPr>
            <w:r>
              <w:rPr>
                <w:rFonts w:hint="eastAsia" w:ascii="宋体" w:hAnsi="宋体"/>
                <w:sz w:val="18"/>
                <w:szCs w:val="18"/>
              </w:rPr>
              <w:t>培训机会</w:t>
            </w:r>
          </w:p>
        </w:tc>
        <w:tc>
          <w:tcPr>
            <w:tcW w:w="1146" w:type="dxa"/>
            <w:vMerge w:val="continue"/>
            <w:vAlign w:val="center"/>
          </w:tcPr>
          <w:p>
            <w:pPr>
              <w:spacing w:line="0" w:lineRule="atLeast"/>
              <w:jc w:val="center"/>
              <w:rPr>
                <w:rFonts w:ascii="宋体" w:hAnsi="宋体"/>
                <w:sz w:val="18"/>
                <w:szCs w:val="18"/>
              </w:rPr>
            </w:pPr>
          </w:p>
        </w:tc>
        <w:tc>
          <w:tcPr>
            <w:tcW w:w="2626" w:type="dxa"/>
            <w:vAlign w:val="center"/>
          </w:tcPr>
          <w:p>
            <w:pPr>
              <w:spacing w:line="0" w:lineRule="atLeast"/>
              <w:jc w:val="left"/>
              <w:rPr>
                <w:rFonts w:ascii="宋体" w:hAnsi="宋体"/>
                <w:sz w:val="18"/>
                <w:szCs w:val="18"/>
              </w:rPr>
            </w:pPr>
            <w:r>
              <w:rPr>
                <w:rFonts w:hint="eastAsia" w:ascii="宋体" w:hAnsi="宋体"/>
                <w:sz w:val="18"/>
                <w:szCs w:val="18"/>
              </w:rPr>
              <w:t>工作质量、职业发展</w:t>
            </w:r>
          </w:p>
        </w:tc>
        <w:tc>
          <w:tcPr>
            <w:tcW w:w="3015" w:type="dxa"/>
            <w:vAlign w:val="center"/>
          </w:tcPr>
          <w:p>
            <w:pPr>
              <w:spacing w:line="0" w:lineRule="atLeast"/>
              <w:rPr>
                <w:rFonts w:ascii="宋体" w:hAnsi="宋体"/>
                <w:sz w:val="18"/>
                <w:szCs w:val="18"/>
              </w:rPr>
            </w:pPr>
            <w:r>
              <w:rPr>
                <w:rFonts w:hint="eastAsia" w:ascii="宋体" w:hAnsi="宋体"/>
                <w:sz w:val="18"/>
                <w:szCs w:val="18"/>
              </w:rPr>
              <w:t>针对性的培训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5" w:hRule="atLeast"/>
        </w:trPr>
        <w:tc>
          <w:tcPr>
            <w:tcW w:w="2262" w:type="dxa"/>
            <w:vAlign w:val="center"/>
          </w:tcPr>
          <w:p>
            <w:pPr>
              <w:spacing w:line="0" w:lineRule="atLeast"/>
              <w:jc w:val="center"/>
              <w:rPr>
                <w:rFonts w:ascii="宋体" w:hAnsi="宋体"/>
                <w:sz w:val="18"/>
                <w:szCs w:val="18"/>
              </w:rPr>
            </w:pPr>
            <w:r>
              <w:rPr>
                <w:rFonts w:hint="eastAsia" w:ascii="宋体" w:hAnsi="宋体"/>
                <w:sz w:val="18"/>
                <w:szCs w:val="18"/>
              </w:rPr>
              <w:t>职业发展</w:t>
            </w:r>
          </w:p>
        </w:tc>
        <w:tc>
          <w:tcPr>
            <w:tcW w:w="1146" w:type="dxa"/>
            <w:vMerge w:val="continue"/>
            <w:vAlign w:val="center"/>
          </w:tcPr>
          <w:p>
            <w:pPr>
              <w:spacing w:line="0" w:lineRule="atLeast"/>
              <w:jc w:val="center"/>
              <w:rPr>
                <w:rFonts w:ascii="宋体" w:hAnsi="宋体"/>
                <w:sz w:val="18"/>
                <w:szCs w:val="18"/>
              </w:rPr>
            </w:pPr>
          </w:p>
        </w:tc>
        <w:tc>
          <w:tcPr>
            <w:tcW w:w="2626" w:type="dxa"/>
            <w:vAlign w:val="center"/>
          </w:tcPr>
          <w:p>
            <w:pPr>
              <w:spacing w:line="0" w:lineRule="atLeast"/>
              <w:jc w:val="left"/>
              <w:rPr>
                <w:rFonts w:ascii="宋体" w:hAnsi="宋体"/>
                <w:sz w:val="18"/>
                <w:szCs w:val="18"/>
              </w:rPr>
            </w:pPr>
            <w:r>
              <w:rPr>
                <w:rFonts w:hint="eastAsia" w:ascii="宋体" w:hAnsi="宋体"/>
                <w:sz w:val="18"/>
                <w:szCs w:val="18"/>
              </w:rPr>
              <w:t>工作激情、人才流失</w:t>
            </w:r>
          </w:p>
        </w:tc>
        <w:tc>
          <w:tcPr>
            <w:tcW w:w="3015" w:type="dxa"/>
            <w:vAlign w:val="center"/>
          </w:tcPr>
          <w:p>
            <w:pPr>
              <w:spacing w:line="0" w:lineRule="atLeast"/>
              <w:rPr>
                <w:rFonts w:ascii="宋体" w:hAnsi="宋体"/>
                <w:sz w:val="18"/>
                <w:szCs w:val="18"/>
              </w:rPr>
            </w:pPr>
            <w:r>
              <w:rPr>
                <w:rFonts w:hint="eastAsia" w:ascii="宋体" w:hAnsi="宋体"/>
                <w:sz w:val="18"/>
                <w:szCs w:val="18"/>
              </w:rPr>
              <w:t>职业规划、发展通道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3" w:hRule="atLeast"/>
        </w:trPr>
        <w:tc>
          <w:tcPr>
            <w:tcW w:w="2262" w:type="dxa"/>
            <w:vAlign w:val="center"/>
          </w:tcPr>
          <w:p>
            <w:pPr>
              <w:spacing w:line="0" w:lineRule="atLeast"/>
              <w:jc w:val="center"/>
              <w:rPr>
                <w:rFonts w:ascii="宋体" w:hAnsi="宋体"/>
                <w:sz w:val="18"/>
                <w:szCs w:val="18"/>
              </w:rPr>
            </w:pPr>
            <w:r>
              <w:rPr>
                <w:rFonts w:hint="eastAsia" w:ascii="宋体" w:hAnsi="宋体"/>
                <w:sz w:val="18"/>
                <w:szCs w:val="18"/>
              </w:rPr>
              <w:t>薪酬、福利</w:t>
            </w:r>
          </w:p>
        </w:tc>
        <w:tc>
          <w:tcPr>
            <w:tcW w:w="1146" w:type="dxa"/>
            <w:vMerge w:val="restart"/>
            <w:vAlign w:val="center"/>
          </w:tcPr>
          <w:p>
            <w:pPr>
              <w:spacing w:line="0" w:lineRule="atLeast"/>
              <w:jc w:val="center"/>
              <w:rPr>
                <w:rFonts w:ascii="宋体" w:hAnsi="宋体"/>
                <w:sz w:val="18"/>
                <w:szCs w:val="18"/>
              </w:rPr>
            </w:pPr>
            <w:r>
              <w:rPr>
                <w:rFonts w:hint="eastAsia" w:ascii="宋体" w:hAnsi="宋体"/>
                <w:sz w:val="18"/>
                <w:szCs w:val="18"/>
              </w:rPr>
              <w:t>专业技术人员</w:t>
            </w:r>
          </w:p>
        </w:tc>
        <w:tc>
          <w:tcPr>
            <w:tcW w:w="2626" w:type="dxa"/>
            <w:vAlign w:val="center"/>
          </w:tcPr>
          <w:p>
            <w:pPr>
              <w:spacing w:line="0" w:lineRule="atLeast"/>
              <w:jc w:val="left"/>
              <w:rPr>
                <w:rFonts w:ascii="宋体" w:hAnsi="宋体"/>
                <w:sz w:val="18"/>
                <w:szCs w:val="18"/>
              </w:rPr>
            </w:pPr>
            <w:r>
              <w:rPr>
                <w:rFonts w:hint="eastAsia" w:ascii="宋体" w:hAnsi="宋体"/>
                <w:sz w:val="18"/>
                <w:szCs w:val="18"/>
              </w:rPr>
              <w:t>满意度、工作积极性</w:t>
            </w:r>
          </w:p>
        </w:tc>
        <w:tc>
          <w:tcPr>
            <w:tcW w:w="3015" w:type="dxa"/>
            <w:vAlign w:val="center"/>
          </w:tcPr>
          <w:p>
            <w:pPr>
              <w:spacing w:line="0" w:lineRule="atLeast"/>
              <w:rPr>
                <w:rFonts w:ascii="宋体" w:hAnsi="宋体"/>
                <w:sz w:val="18"/>
                <w:szCs w:val="18"/>
              </w:rPr>
            </w:pPr>
            <w:r>
              <w:rPr>
                <w:rFonts w:hint="eastAsia" w:ascii="宋体" w:hAnsi="宋体"/>
                <w:sz w:val="18"/>
                <w:szCs w:val="18"/>
              </w:rPr>
              <w:t>公正合理的薪酬体系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7" w:hRule="atLeast"/>
        </w:trPr>
        <w:tc>
          <w:tcPr>
            <w:tcW w:w="2262" w:type="dxa"/>
            <w:vAlign w:val="center"/>
          </w:tcPr>
          <w:p>
            <w:pPr>
              <w:spacing w:line="0" w:lineRule="atLeast"/>
              <w:jc w:val="center"/>
              <w:rPr>
                <w:rFonts w:ascii="宋体" w:hAnsi="宋体"/>
                <w:sz w:val="18"/>
                <w:szCs w:val="18"/>
              </w:rPr>
            </w:pPr>
            <w:r>
              <w:rPr>
                <w:rFonts w:hint="eastAsia" w:ascii="宋体" w:hAnsi="宋体"/>
                <w:sz w:val="18"/>
                <w:szCs w:val="18"/>
              </w:rPr>
              <w:t>培训机会</w:t>
            </w:r>
          </w:p>
        </w:tc>
        <w:tc>
          <w:tcPr>
            <w:tcW w:w="1146" w:type="dxa"/>
            <w:vMerge w:val="continue"/>
            <w:vAlign w:val="center"/>
          </w:tcPr>
          <w:p>
            <w:pPr>
              <w:spacing w:line="0" w:lineRule="atLeast"/>
              <w:rPr>
                <w:rFonts w:ascii="宋体" w:hAnsi="宋体"/>
                <w:sz w:val="18"/>
                <w:szCs w:val="18"/>
              </w:rPr>
            </w:pPr>
          </w:p>
        </w:tc>
        <w:tc>
          <w:tcPr>
            <w:tcW w:w="2626" w:type="dxa"/>
            <w:vAlign w:val="center"/>
          </w:tcPr>
          <w:p>
            <w:pPr>
              <w:spacing w:line="0" w:lineRule="atLeast"/>
              <w:jc w:val="left"/>
              <w:rPr>
                <w:rFonts w:ascii="宋体" w:hAnsi="宋体"/>
                <w:sz w:val="18"/>
                <w:szCs w:val="18"/>
              </w:rPr>
            </w:pPr>
            <w:r>
              <w:rPr>
                <w:rFonts w:hint="eastAsia" w:ascii="宋体" w:hAnsi="宋体"/>
                <w:sz w:val="18"/>
                <w:szCs w:val="18"/>
              </w:rPr>
              <w:t>工作质量、职业发展</w:t>
            </w:r>
          </w:p>
        </w:tc>
        <w:tc>
          <w:tcPr>
            <w:tcW w:w="3015" w:type="dxa"/>
            <w:vAlign w:val="center"/>
          </w:tcPr>
          <w:p>
            <w:pPr>
              <w:spacing w:line="0" w:lineRule="atLeast"/>
              <w:rPr>
                <w:rFonts w:ascii="宋体" w:hAnsi="宋体"/>
                <w:sz w:val="18"/>
                <w:szCs w:val="18"/>
              </w:rPr>
            </w:pPr>
            <w:r>
              <w:rPr>
                <w:rFonts w:hint="eastAsia" w:ascii="宋体" w:hAnsi="宋体"/>
                <w:sz w:val="18"/>
                <w:szCs w:val="18"/>
              </w:rPr>
              <w:t>个性化的培训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5" w:hRule="atLeast"/>
        </w:trPr>
        <w:tc>
          <w:tcPr>
            <w:tcW w:w="2262" w:type="dxa"/>
            <w:vAlign w:val="center"/>
          </w:tcPr>
          <w:p>
            <w:pPr>
              <w:spacing w:line="0" w:lineRule="atLeast"/>
              <w:jc w:val="center"/>
              <w:rPr>
                <w:rFonts w:ascii="宋体" w:hAnsi="宋体"/>
                <w:sz w:val="18"/>
                <w:szCs w:val="18"/>
              </w:rPr>
            </w:pPr>
            <w:r>
              <w:rPr>
                <w:rFonts w:hint="eastAsia" w:ascii="宋体" w:hAnsi="宋体"/>
                <w:sz w:val="18"/>
                <w:szCs w:val="18"/>
              </w:rPr>
              <w:t>职业发展</w:t>
            </w:r>
          </w:p>
        </w:tc>
        <w:tc>
          <w:tcPr>
            <w:tcW w:w="1146" w:type="dxa"/>
            <w:vMerge w:val="continue"/>
            <w:vAlign w:val="center"/>
          </w:tcPr>
          <w:p>
            <w:pPr>
              <w:spacing w:line="0" w:lineRule="atLeast"/>
              <w:rPr>
                <w:rFonts w:ascii="宋体" w:hAnsi="宋体"/>
                <w:sz w:val="18"/>
                <w:szCs w:val="18"/>
              </w:rPr>
            </w:pPr>
          </w:p>
        </w:tc>
        <w:tc>
          <w:tcPr>
            <w:tcW w:w="2626" w:type="dxa"/>
            <w:vAlign w:val="center"/>
          </w:tcPr>
          <w:p>
            <w:pPr>
              <w:spacing w:line="0" w:lineRule="atLeast"/>
              <w:jc w:val="left"/>
              <w:rPr>
                <w:rFonts w:ascii="宋体" w:hAnsi="宋体"/>
                <w:sz w:val="18"/>
                <w:szCs w:val="18"/>
              </w:rPr>
            </w:pPr>
            <w:r>
              <w:rPr>
                <w:rFonts w:hint="eastAsia" w:ascii="宋体" w:hAnsi="宋体"/>
                <w:sz w:val="18"/>
                <w:szCs w:val="18"/>
              </w:rPr>
              <w:t>工作激情、人才流失</w:t>
            </w:r>
          </w:p>
        </w:tc>
        <w:tc>
          <w:tcPr>
            <w:tcW w:w="3015" w:type="dxa"/>
            <w:vAlign w:val="center"/>
          </w:tcPr>
          <w:p>
            <w:pPr>
              <w:spacing w:line="0" w:lineRule="atLeast"/>
              <w:rPr>
                <w:rFonts w:ascii="宋体" w:hAnsi="宋体"/>
                <w:sz w:val="18"/>
                <w:szCs w:val="18"/>
              </w:rPr>
            </w:pPr>
            <w:r>
              <w:rPr>
                <w:rFonts w:hint="eastAsia" w:ascii="宋体" w:hAnsi="宋体"/>
                <w:sz w:val="18"/>
                <w:szCs w:val="18"/>
              </w:rPr>
              <w:t>职业规划、发展通道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5" w:hRule="atLeast"/>
        </w:trPr>
        <w:tc>
          <w:tcPr>
            <w:tcW w:w="2262" w:type="dxa"/>
            <w:vAlign w:val="center"/>
          </w:tcPr>
          <w:p>
            <w:pPr>
              <w:spacing w:line="0" w:lineRule="atLeast"/>
              <w:jc w:val="center"/>
              <w:rPr>
                <w:rFonts w:ascii="宋体" w:hAnsi="宋体"/>
                <w:sz w:val="18"/>
                <w:szCs w:val="18"/>
              </w:rPr>
            </w:pPr>
            <w:r>
              <w:rPr>
                <w:rFonts w:hint="eastAsia" w:ascii="宋体" w:hAnsi="宋体"/>
                <w:sz w:val="18"/>
                <w:szCs w:val="18"/>
              </w:rPr>
              <w:t>企业文化</w:t>
            </w:r>
          </w:p>
        </w:tc>
        <w:tc>
          <w:tcPr>
            <w:tcW w:w="1146" w:type="dxa"/>
            <w:vAlign w:val="center"/>
          </w:tcPr>
          <w:p>
            <w:pPr>
              <w:spacing w:line="0" w:lineRule="atLeast"/>
              <w:rPr>
                <w:rFonts w:ascii="宋体" w:hAnsi="宋体"/>
                <w:sz w:val="18"/>
                <w:szCs w:val="18"/>
              </w:rPr>
            </w:pPr>
            <w:r>
              <w:rPr>
                <w:rFonts w:hint="eastAsia" w:ascii="宋体" w:hAnsi="宋体"/>
                <w:sz w:val="18"/>
                <w:szCs w:val="18"/>
              </w:rPr>
              <w:t>全员</w:t>
            </w:r>
          </w:p>
        </w:tc>
        <w:tc>
          <w:tcPr>
            <w:tcW w:w="2626" w:type="dxa"/>
            <w:vAlign w:val="center"/>
          </w:tcPr>
          <w:p>
            <w:pPr>
              <w:spacing w:line="0" w:lineRule="atLeast"/>
              <w:jc w:val="left"/>
              <w:rPr>
                <w:rFonts w:ascii="宋体" w:hAnsi="宋体"/>
                <w:sz w:val="18"/>
                <w:szCs w:val="18"/>
              </w:rPr>
            </w:pPr>
            <w:r>
              <w:rPr>
                <w:rFonts w:hint="eastAsia" w:ascii="宋体" w:hAnsi="宋体"/>
                <w:sz w:val="18"/>
                <w:szCs w:val="18"/>
              </w:rPr>
              <w:t>归属感</w:t>
            </w:r>
          </w:p>
        </w:tc>
        <w:tc>
          <w:tcPr>
            <w:tcW w:w="3015" w:type="dxa"/>
            <w:vAlign w:val="center"/>
          </w:tcPr>
          <w:p>
            <w:pPr>
              <w:spacing w:line="0" w:lineRule="atLeast"/>
              <w:rPr>
                <w:rFonts w:ascii="宋体" w:hAnsi="宋体"/>
                <w:sz w:val="18"/>
                <w:szCs w:val="18"/>
              </w:rPr>
            </w:pPr>
            <w:r>
              <w:rPr>
                <w:rFonts w:hint="eastAsia" w:ascii="宋体" w:hAnsi="宋体"/>
                <w:sz w:val="18"/>
                <w:szCs w:val="18"/>
              </w:rPr>
              <w:t>文化持续深入的影响</w:t>
            </w:r>
          </w:p>
        </w:tc>
      </w:tr>
    </w:tbl>
    <w:p>
      <w:pPr>
        <w:rPr>
          <w:b/>
        </w:rPr>
      </w:pPr>
    </w:p>
    <w:p>
      <w:pPr>
        <w:pStyle w:val="4"/>
        <w:spacing w:before="120" w:after="120"/>
        <w:rPr>
          <w:sz w:val="24"/>
        </w:rPr>
      </w:pPr>
      <w:r>
        <w:rPr>
          <w:rFonts w:hint="eastAsia"/>
          <w:sz w:val="24"/>
        </w:rPr>
        <w:t>5、</w:t>
      </w:r>
      <w:r>
        <w:rPr>
          <w:sz w:val="24"/>
        </w:rPr>
        <w:t xml:space="preserve"> 公益支持</w:t>
      </w:r>
      <w:bookmarkEnd w:id="52"/>
      <w:bookmarkEnd w:id="53"/>
      <w:bookmarkEnd w:id="54"/>
      <w:bookmarkEnd w:id="55"/>
      <w:bookmarkEnd w:id="56"/>
    </w:p>
    <w:p>
      <w:pPr>
        <w:spacing w:before="120" w:beforeLines="50" w:after="120" w:afterLines="50" w:line="276" w:lineRule="auto"/>
        <w:ind w:firstLine="426" w:firstLineChars="177"/>
        <w:outlineLvl w:val="3"/>
        <w:rPr>
          <w:rFonts w:ascii="宋体" w:hAnsi="宋体"/>
          <w:b/>
          <w:sz w:val="24"/>
          <w:szCs w:val="24"/>
        </w:rPr>
      </w:pPr>
      <w:r>
        <w:rPr>
          <w:rFonts w:ascii="宋体" w:hAnsi="宋体"/>
          <w:b/>
          <w:sz w:val="24"/>
          <w:szCs w:val="24"/>
        </w:rPr>
        <w:t>重点支持慈善活动，高层领导率先示范</w:t>
      </w:r>
      <w:r>
        <w:rPr>
          <w:rFonts w:hint="eastAsia" w:ascii="宋体" w:hAnsi="宋体"/>
          <w:b/>
          <w:sz w:val="24"/>
          <w:szCs w:val="24"/>
        </w:rPr>
        <w:t>，积极参与重大灾害救助</w:t>
      </w:r>
    </w:p>
    <w:p>
      <w:pPr>
        <w:adjustRightInd w:val="0"/>
        <w:spacing w:line="360" w:lineRule="auto"/>
        <w:ind w:firstLine="480" w:firstLineChars="200"/>
        <w:rPr>
          <w:rFonts w:ascii="宋体" w:hAnsi="宋体"/>
          <w:sz w:val="24"/>
          <w:szCs w:val="20"/>
        </w:rPr>
      </w:pPr>
      <w:r>
        <w:rPr>
          <w:rFonts w:hint="eastAsia" w:ascii="宋体" w:hAnsi="宋体"/>
          <w:sz w:val="24"/>
          <w:szCs w:val="20"/>
        </w:rPr>
        <w:t>公司高层领导认为公司的发展和财富的积累来源于社会，企业取得的每一项进步和成效都得益于各级领导的呵护和关心，都离不开社会各界的厚爱和支持。遵循公司“奉献”的价值观以及公司使命，公司坚持回馈社会，认真履行企业的社会责任。近年来，万赛公司积极的向金华本地慈善机构捐献爱心，慰问周边村落孤寡老人。</w:t>
      </w:r>
    </w:p>
    <w:tbl>
      <w:tblPr>
        <w:tblStyle w:val="38"/>
        <w:tblW w:w="90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2"/>
        <w:gridCol w:w="5725"/>
        <w:gridCol w:w="1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662" w:type="dxa"/>
            <w:vAlign w:val="top"/>
          </w:tcPr>
          <w:p>
            <w:pPr>
              <w:spacing w:before="120" w:beforeLines="50" w:after="120" w:afterLines="50" w:line="276" w:lineRule="auto"/>
              <w:ind w:firstLine="426" w:firstLineChars="177"/>
              <w:jc w:val="both"/>
              <w:outlineLvl w:val="3"/>
              <w:rPr>
                <w:rFonts w:hint="default" w:ascii="宋体" w:hAnsi="宋体" w:eastAsiaTheme="minorEastAsia"/>
                <w:b/>
                <w:sz w:val="24"/>
                <w:szCs w:val="24"/>
                <w:highlight w:val="none"/>
                <w:lang w:val="en-US" w:eastAsia="zh-CN"/>
              </w:rPr>
            </w:pPr>
            <w:r>
              <w:rPr>
                <w:rFonts w:ascii="宋体" w:hAnsi="宋体"/>
                <w:b/>
                <w:sz w:val="24"/>
                <w:szCs w:val="24"/>
                <w:highlight w:val="none"/>
              </w:rPr>
              <w:t>201</w:t>
            </w:r>
            <w:r>
              <w:rPr>
                <w:rFonts w:hint="eastAsia" w:ascii="宋体" w:hAnsi="宋体"/>
                <w:b/>
                <w:sz w:val="24"/>
                <w:szCs w:val="24"/>
                <w:highlight w:val="none"/>
                <w:lang w:val="en-US" w:eastAsia="zh-CN"/>
              </w:rPr>
              <w:t>9</w:t>
            </w:r>
            <w:r>
              <w:rPr>
                <w:rFonts w:ascii="宋体" w:hAnsi="宋体"/>
                <w:b/>
                <w:sz w:val="24"/>
                <w:szCs w:val="24"/>
                <w:highlight w:val="none"/>
              </w:rPr>
              <w:t>年</w:t>
            </w:r>
          </w:p>
        </w:tc>
        <w:tc>
          <w:tcPr>
            <w:tcW w:w="5725" w:type="dxa"/>
            <w:vAlign w:val="top"/>
          </w:tcPr>
          <w:p>
            <w:pPr>
              <w:spacing w:before="120" w:beforeLines="50" w:after="120" w:afterLines="50" w:line="276" w:lineRule="auto"/>
              <w:ind w:firstLine="424" w:firstLineChars="177"/>
              <w:jc w:val="center"/>
              <w:outlineLvl w:val="3"/>
              <w:rPr>
                <w:rFonts w:ascii="宋体" w:hAnsi="宋体"/>
                <w:b/>
                <w:sz w:val="24"/>
                <w:szCs w:val="24"/>
                <w:highlight w:val="none"/>
              </w:rPr>
            </w:pPr>
            <w:r>
              <w:rPr>
                <w:rFonts w:hint="eastAsia" w:ascii="宋体" w:hAnsi="宋体"/>
                <w:sz w:val="24"/>
                <w:szCs w:val="20"/>
                <w:highlight w:val="none"/>
              </w:rPr>
              <w:t>支持退伍军人生活捐助退伍人协会</w:t>
            </w:r>
          </w:p>
        </w:tc>
        <w:tc>
          <w:tcPr>
            <w:tcW w:w="1662" w:type="dxa"/>
            <w:vAlign w:val="top"/>
          </w:tcPr>
          <w:p>
            <w:pPr>
              <w:spacing w:before="120" w:beforeLines="50" w:after="120" w:afterLines="50" w:line="276" w:lineRule="auto"/>
              <w:jc w:val="center"/>
              <w:outlineLvl w:val="3"/>
              <w:rPr>
                <w:rFonts w:ascii="宋体" w:hAnsi="宋体"/>
                <w:b/>
                <w:sz w:val="24"/>
                <w:szCs w:val="24"/>
                <w:highlight w:val="none"/>
              </w:rPr>
            </w:pPr>
            <w:r>
              <w:rPr>
                <w:rFonts w:hint="eastAsia" w:ascii="宋体" w:hAnsi="宋体"/>
                <w:b w:val="0"/>
                <w:bCs/>
                <w:sz w:val="24"/>
                <w:szCs w:val="24"/>
                <w:highlight w:val="none"/>
                <w:lang w:val="en-US" w:eastAsia="zh-CN"/>
              </w:rPr>
              <w:t>4</w:t>
            </w:r>
            <w:r>
              <w:rPr>
                <w:rFonts w:ascii="宋体" w:hAnsi="宋体"/>
                <w:b w:val="0"/>
                <w:bCs/>
                <w:sz w:val="24"/>
                <w:szCs w:val="24"/>
                <w:highlight w:val="none"/>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662" w:type="dxa"/>
          </w:tcPr>
          <w:p>
            <w:pPr>
              <w:spacing w:before="120" w:beforeLines="50" w:after="120" w:afterLines="50" w:line="276" w:lineRule="auto"/>
              <w:ind w:firstLine="426" w:firstLineChars="177"/>
              <w:jc w:val="both"/>
              <w:outlineLvl w:val="3"/>
              <w:rPr>
                <w:rFonts w:hint="default" w:ascii="宋体" w:hAnsi="宋体" w:eastAsiaTheme="minorEastAsia"/>
                <w:b/>
                <w:sz w:val="24"/>
                <w:szCs w:val="24"/>
                <w:highlight w:val="none"/>
                <w:lang w:val="en-US" w:eastAsia="zh-CN"/>
              </w:rPr>
            </w:pPr>
            <w:r>
              <w:rPr>
                <w:rFonts w:hint="eastAsia" w:ascii="宋体" w:hAnsi="宋体"/>
                <w:b/>
                <w:sz w:val="24"/>
                <w:szCs w:val="24"/>
                <w:highlight w:val="none"/>
                <w:lang w:val="en-US" w:eastAsia="zh-CN"/>
              </w:rPr>
              <w:t>2020年</w:t>
            </w:r>
          </w:p>
        </w:tc>
        <w:tc>
          <w:tcPr>
            <w:tcW w:w="5725" w:type="dxa"/>
          </w:tcPr>
          <w:p>
            <w:pPr>
              <w:spacing w:before="120" w:beforeLines="50" w:after="120" w:afterLines="50" w:line="276" w:lineRule="auto"/>
              <w:ind w:firstLine="424" w:firstLineChars="177"/>
              <w:jc w:val="center"/>
              <w:outlineLvl w:val="3"/>
              <w:rPr>
                <w:rFonts w:hint="eastAsia" w:ascii="宋体" w:hAnsi="宋体" w:eastAsiaTheme="minorEastAsia"/>
                <w:b w:val="0"/>
                <w:bCs/>
                <w:sz w:val="24"/>
                <w:szCs w:val="24"/>
                <w:highlight w:val="none"/>
                <w:lang w:eastAsia="zh-CN"/>
              </w:rPr>
            </w:pPr>
            <w:r>
              <w:rPr>
                <w:rFonts w:hint="eastAsia" w:ascii="宋体" w:hAnsi="宋体"/>
                <w:b w:val="0"/>
                <w:bCs/>
                <w:sz w:val="24"/>
                <w:szCs w:val="24"/>
                <w:highlight w:val="none"/>
                <w:lang w:eastAsia="zh-CN"/>
              </w:rPr>
              <w:t>新冠状病毒疫情防控专项捐款</w:t>
            </w:r>
          </w:p>
        </w:tc>
        <w:tc>
          <w:tcPr>
            <w:tcW w:w="1662" w:type="dxa"/>
          </w:tcPr>
          <w:p>
            <w:pPr>
              <w:spacing w:before="120" w:beforeLines="50" w:after="120" w:afterLines="50" w:line="276" w:lineRule="auto"/>
              <w:ind w:firstLine="424" w:firstLineChars="177"/>
              <w:jc w:val="both"/>
              <w:outlineLvl w:val="3"/>
              <w:rPr>
                <w:rFonts w:hint="eastAsia" w:ascii="宋体" w:hAnsi="宋体" w:eastAsiaTheme="minorEastAsia"/>
                <w:b w:val="0"/>
                <w:bCs/>
                <w:sz w:val="24"/>
                <w:szCs w:val="24"/>
                <w:highlight w:val="none"/>
                <w:lang w:val="en-US" w:eastAsia="zh-CN"/>
              </w:rPr>
            </w:pPr>
            <w:r>
              <w:rPr>
                <w:rFonts w:hint="eastAsia" w:ascii="宋体" w:hAnsi="宋体"/>
                <w:b w:val="0"/>
                <w:bCs/>
                <w:sz w:val="24"/>
                <w:szCs w:val="24"/>
                <w:highlight w:val="none"/>
                <w:lang w:val="en-US" w:eastAsia="zh-CN"/>
              </w:rPr>
              <w:t>3万元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1662" w:type="dxa"/>
          </w:tcPr>
          <w:p>
            <w:pPr>
              <w:spacing w:before="120" w:beforeLines="50" w:after="120" w:afterLines="50" w:line="276" w:lineRule="auto"/>
              <w:ind w:firstLine="426" w:firstLineChars="177"/>
              <w:jc w:val="both"/>
              <w:outlineLvl w:val="3"/>
              <w:rPr>
                <w:rFonts w:hint="eastAsia" w:ascii="宋体" w:hAnsi="宋体" w:eastAsiaTheme="minorEastAsia"/>
                <w:b/>
                <w:sz w:val="24"/>
                <w:szCs w:val="24"/>
                <w:highlight w:val="none"/>
                <w:lang w:val="en-US" w:eastAsia="zh-CN"/>
              </w:rPr>
            </w:pPr>
            <w:r>
              <w:rPr>
                <w:rFonts w:hint="eastAsia" w:ascii="宋体" w:hAnsi="宋体"/>
                <w:b/>
                <w:sz w:val="24"/>
                <w:szCs w:val="24"/>
                <w:highlight w:val="none"/>
                <w:lang w:val="en-US" w:eastAsia="zh-CN"/>
              </w:rPr>
              <w:t>2020年</w:t>
            </w:r>
          </w:p>
        </w:tc>
        <w:tc>
          <w:tcPr>
            <w:tcW w:w="5725" w:type="dxa"/>
          </w:tcPr>
          <w:p>
            <w:pPr>
              <w:spacing w:before="120" w:beforeLines="50" w:after="120" w:afterLines="50" w:line="276" w:lineRule="auto"/>
              <w:ind w:firstLine="424" w:firstLineChars="177"/>
              <w:jc w:val="center"/>
              <w:outlineLvl w:val="3"/>
              <w:rPr>
                <w:rFonts w:hint="eastAsia" w:ascii="宋体" w:hAnsi="宋体" w:eastAsiaTheme="minorEastAsia"/>
                <w:b w:val="0"/>
                <w:bCs/>
                <w:sz w:val="24"/>
                <w:szCs w:val="24"/>
                <w:highlight w:val="none"/>
                <w:lang w:eastAsia="zh-CN"/>
              </w:rPr>
            </w:pPr>
            <w:r>
              <w:rPr>
                <w:rFonts w:hint="eastAsia" w:ascii="宋体" w:hAnsi="宋体"/>
                <w:b w:val="0"/>
                <w:bCs/>
                <w:sz w:val="24"/>
                <w:szCs w:val="24"/>
                <w:highlight w:val="none"/>
                <w:lang w:eastAsia="zh-CN"/>
              </w:rPr>
              <w:t>捐赠退役军人服装</w:t>
            </w:r>
          </w:p>
        </w:tc>
        <w:tc>
          <w:tcPr>
            <w:tcW w:w="1662" w:type="dxa"/>
          </w:tcPr>
          <w:p>
            <w:pPr>
              <w:spacing w:before="120" w:beforeLines="50" w:after="120" w:afterLines="50" w:line="276" w:lineRule="auto"/>
              <w:ind w:firstLine="424" w:firstLineChars="177"/>
              <w:jc w:val="both"/>
              <w:outlineLvl w:val="3"/>
              <w:rPr>
                <w:rFonts w:hint="eastAsia" w:ascii="宋体" w:hAnsi="宋体" w:eastAsiaTheme="minorEastAsia"/>
                <w:b w:val="0"/>
                <w:bCs/>
                <w:sz w:val="24"/>
                <w:szCs w:val="24"/>
                <w:highlight w:val="none"/>
                <w:lang w:val="en-US" w:eastAsia="zh-CN"/>
              </w:rPr>
            </w:pPr>
            <w:r>
              <w:rPr>
                <w:rFonts w:hint="eastAsia" w:ascii="宋体" w:hAnsi="宋体"/>
                <w:b w:val="0"/>
                <w:bCs/>
                <w:sz w:val="24"/>
                <w:szCs w:val="24"/>
                <w:highlight w:val="none"/>
                <w:lang w:val="en-US" w:eastAsia="zh-CN"/>
              </w:rPr>
              <w:t>0.8万元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1662" w:type="dxa"/>
          </w:tcPr>
          <w:p>
            <w:pPr>
              <w:spacing w:before="120" w:beforeLines="50" w:after="120" w:afterLines="50" w:line="276" w:lineRule="auto"/>
              <w:ind w:firstLine="426" w:firstLineChars="177"/>
              <w:jc w:val="both"/>
              <w:outlineLvl w:val="3"/>
              <w:rPr>
                <w:rFonts w:hint="eastAsia" w:ascii="宋体" w:hAnsi="宋体" w:eastAsiaTheme="minorEastAsia"/>
                <w:b/>
                <w:sz w:val="24"/>
                <w:szCs w:val="24"/>
                <w:highlight w:val="none"/>
                <w:lang w:val="en-US" w:eastAsia="zh-CN"/>
              </w:rPr>
            </w:pPr>
            <w:r>
              <w:rPr>
                <w:rFonts w:hint="eastAsia" w:ascii="宋体" w:hAnsi="宋体"/>
                <w:b/>
                <w:sz w:val="24"/>
                <w:szCs w:val="24"/>
                <w:highlight w:val="none"/>
                <w:lang w:val="en-US" w:eastAsia="zh-CN"/>
              </w:rPr>
              <w:t>2020年</w:t>
            </w:r>
          </w:p>
        </w:tc>
        <w:tc>
          <w:tcPr>
            <w:tcW w:w="5725" w:type="dxa"/>
          </w:tcPr>
          <w:p>
            <w:pPr>
              <w:spacing w:before="120" w:beforeLines="50" w:after="120" w:afterLines="50" w:line="276" w:lineRule="auto"/>
              <w:ind w:firstLine="424" w:firstLineChars="177"/>
              <w:jc w:val="center"/>
              <w:outlineLvl w:val="3"/>
              <w:rPr>
                <w:rFonts w:hint="eastAsia" w:ascii="宋体" w:hAnsi="宋体" w:eastAsiaTheme="minorEastAsia"/>
                <w:b w:val="0"/>
                <w:bCs/>
                <w:sz w:val="24"/>
                <w:szCs w:val="24"/>
                <w:highlight w:val="none"/>
                <w:lang w:eastAsia="zh-CN"/>
              </w:rPr>
            </w:pPr>
            <w:r>
              <w:rPr>
                <w:rFonts w:hint="eastAsia" w:ascii="宋体" w:hAnsi="宋体"/>
                <w:b w:val="0"/>
                <w:bCs/>
                <w:sz w:val="24"/>
                <w:szCs w:val="24"/>
                <w:highlight w:val="none"/>
                <w:lang w:eastAsia="zh-CN"/>
              </w:rPr>
              <w:t>捐赠防疫物资</w:t>
            </w:r>
          </w:p>
        </w:tc>
        <w:tc>
          <w:tcPr>
            <w:tcW w:w="1662" w:type="dxa"/>
          </w:tcPr>
          <w:p>
            <w:pPr>
              <w:spacing w:before="120" w:beforeLines="50" w:after="120" w:afterLines="50" w:line="276" w:lineRule="auto"/>
              <w:ind w:firstLine="424" w:firstLineChars="177"/>
              <w:jc w:val="both"/>
              <w:outlineLvl w:val="3"/>
              <w:rPr>
                <w:rFonts w:hint="eastAsia" w:ascii="宋体" w:hAnsi="宋体" w:eastAsiaTheme="minorEastAsia"/>
                <w:b w:val="0"/>
                <w:bCs/>
                <w:sz w:val="24"/>
                <w:szCs w:val="24"/>
                <w:highlight w:val="none"/>
                <w:lang w:val="en-US" w:eastAsia="zh-CN"/>
              </w:rPr>
            </w:pPr>
            <w:r>
              <w:rPr>
                <w:rFonts w:hint="eastAsia" w:ascii="宋体" w:hAnsi="宋体"/>
                <w:b w:val="0"/>
                <w:bCs/>
                <w:sz w:val="24"/>
                <w:szCs w:val="24"/>
                <w:highlight w:val="none"/>
                <w:lang w:val="en-US" w:eastAsia="zh-CN"/>
              </w:rPr>
              <w:t>2万元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1662" w:type="dxa"/>
          </w:tcPr>
          <w:p>
            <w:pPr>
              <w:spacing w:before="120" w:beforeLines="50" w:after="120" w:afterLines="50" w:line="276" w:lineRule="auto"/>
              <w:ind w:firstLine="426" w:firstLineChars="177"/>
              <w:jc w:val="both"/>
              <w:outlineLvl w:val="3"/>
              <w:rPr>
                <w:rFonts w:hint="eastAsia" w:ascii="宋体" w:hAnsi="宋体" w:eastAsiaTheme="minorEastAsia"/>
                <w:b/>
                <w:sz w:val="24"/>
                <w:szCs w:val="24"/>
                <w:highlight w:val="none"/>
                <w:lang w:val="en-US" w:eastAsia="zh-CN"/>
              </w:rPr>
            </w:pPr>
            <w:r>
              <w:rPr>
                <w:rFonts w:hint="eastAsia" w:ascii="宋体" w:hAnsi="宋体"/>
                <w:b/>
                <w:sz w:val="24"/>
                <w:szCs w:val="24"/>
                <w:highlight w:val="none"/>
                <w:lang w:val="en-US" w:eastAsia="zh-CN"/>
              </w:rPr>
              <w:t>2021年</w:t>
            </w:r>
          </w:p>
        </w:tc>
        <w:tc>
          <w:tcPr>
            <w:tcW w:w="5725" w:type="dxa"/>
          </w:tcPr>
          <w:p>
            <w:pPr>
              <w:spacing w:before="120" w:beforeLines="50" w:after="120" w:afterLines="50" w:line="276" w:lineRule="auto"/>
              <w:ind w:firstLine="424" w:firstLineChars="177"/>
              <w:jc w:val="center"/>
              <w:outlineLvl w:val="3"/>
              <w:rPr>
                <w:rFonts w:hint="eastAsia" w:ascii="宋体" w:hAnsi="宋体" w:eastAsiaTheme="minorEastAsia"/>
                <w:b w:val="0"/>
                <w:bCs/>
                <w:sz w:val="24"/>
                <w:szCs w:val="24"/>
                <w:highlight w:val="none"/>
                <w:lang w:eastAsia="zh-CN"/>
              </w:rPr>
            </w:pPr>
            <w:r>
              <w:rPr>
                <w:rFonts w:hint="eastAsia" w:ascii="宋体" w:hAnsi="宋体"/>
                <w:b w:val="0"/>
                <w:bCs/>
                <w:sz w:val="24"/>
                <w:szCs w:val="24"/>
                <w:highlight w:val="none"/>
                <w:lang w:eastAsia="zh-CN"/>
              </w:rPr>
              <w:t>捐赠（退役军人运动会）</w:t>
            </w:r>
          </w:p>
        </w:tc>
        <w:tc>
          <w:tcPr>
            <w:tcW w:w="1662" w:type="dxa"/>
          </w:tcPr>
          <w:p>
            <w:pPr>
              <w:spacing w:before="120" w:beforeLines="50" w:after="120" w:afterLines="50" w:line="276" w:lineRule="auto"/>
              <w:ind w:firstLine="424" w:firstLineChars="177"/>
              <w:jc w:val="both"/>
              <w:outlineLvl w:val="3"/>
              <w:rPr>
                <w:rFonts w:hint="eastAsia" w:ascii="宋体" w:hAnsi="宋体" w:eastAsiaTheme="minorEastAsia"/>
                <w:b w:val="0"/>
                <w:bCs/>
                <w:sz w:val="24"/>
                <w:szCs w:val="24"/>
                <w:highlight w:val="none"/>
                <w:lang w:val="en-US" w:eastAsia="zh-CN"/>
              </w:rPr>
            </w:pPr>
            <w:r>
              <w:rPr>
                <w:rFonts w:hint="eastAsia" w:ascii="宋体" w:hAnsi="宋体"/>
                <w:b w:val="0"/>
                <w:bCs/>
                <w:sz w:val="24"/>
                <w:szCs w:val="24"/>
                <w:highlight w:val="none"/>
                <w:lang w:val="en-US" w:eastAsia="zh-CN"/>
              </w:rPr>
              <w:t>10万元</w:t>
            </w:r>
          </w:p>
        </w:tc>
      </w:tr>
    </w:tbl>
    <w:p>
      <w:pPr>
        <w:spacing w:before="120" w:beforeLines="50" w:after="120" w:afterLines="50" w:line="276" w:lineRule="auto"/>
        <w:ind w:firstLine="426" w:firstLineChars="177"/>
        <w:outlineLvl w:val="3"/>
        <w:rPr>
          <w:rFonts w:ascii="宋体" w:hAnsi="宋体"/>
          <w:b/>
          <w:sz w:val="24"/>
          <w:szCs w:val="24"/>
        </w:rPr>
      </w:pPr>
    </w:p>
    <w:p>
      <w:pPr>
        <w:spacing w:before="120" w:beforeLines="50" w:after="120" w:afterLines="50" w:line="360" w:lineRule="auto"/>
        <w:outlineLvl w:val="0"/>
        <w:rPr>
          <w:rFonts w:ascii="宋体" w:hAnsi="宋体" w:eastAsia="宋体" w:cs="Times New Roman"/>
          <w:b/>
          <w:color w:val="0000FF"/>
          <w:sz w:val="28"/>
          <w:szCs w:val="24"/>
        </w:rPr>
      </w:pPr>
    </w:p>
    <w:sectPr>
      <w:pgSz w:w="11906" w:h="16838"/>
      <w:pgMar w:top="1525" w:right="1276" w:bottom="1440" w:left="1797" w:header="856"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libri Light">
    <w:panose1 w:val="020F0302020204030204"/>
    <w:charset w:val="00"/>
    <w:family w:val="swiss"/>
    <w:pitch w:val="default"/>
    <w:sig w:usb0="E0002AFF" w:usb1="C000247B" w:usb2="00000009" w:usb3="00000000" w:csb0="200001FF" w:csb1="00000000"/>
  </w:font>
  <w:font w:name="Cambria">
    <w:panose1 w:val="020405030504060A0204"/>
    <w:charset w:val="00"/>
    <w:family w:val="roman"/>
    <w:pitch w:val="default"/>
    <w:sig w:usb0="E00006FF" w:usb1="4000045F" w:usb2="0000000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Helvetica-Narrow">
    <w:altName w:val="Segoe Print"/>
    <w:panose1 w:val="00000000000000000000"/>
    <w:charset w:val="00"/>
    <w:family w:val="swiss"/>
    <w:pitch w:val="default"/>
    <w:sig w:usb0="00000000"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57C43"/>
    <w:multiLevelType w:val="multilevel"/>
    <w:tmpl w:val="06257C43"/>
    <w:lvl w:ilvl="0" w:tentative="0">
      <w:start w:val="1"/>
      <w:numFmt w:val="bullet"/>
      <w:lvlText w:val=""/>
      <w:lvlJc w:val="left"/>
      <w:pPr>
        <w:ind w:left="360" w:hanging="360"/>
      </w:pPr>
      <w:rPr>
        <w:rFonts w:hint="default" w:ascii="Wingdings" w:hAnsi="Wingdings"/>
      </w:rPr>
    </w:lvl>
    <w:lvl w:ilvl="1" w:tentative="0">
      <w:start w:val="1"/>
      <w:numFmt w:val="lowerLetter"/>
      <w:lvlText w:val="%2)"/>
      <w:lvlJc w:val="left"/>
      <w:pPr>
        <w:ind w:left="360" w:hanging="420"/>
      </w:pPr>
    </w:lvl>
    <w:lvl w:ilvl="2" w:tentative="0">
      <w:start w:val="1"/>
      <w:numFmt w:val="lowerRoman"/>
      <w:lvlText w:val="%3."/>
      <w:lvlJc w:val="right"/>
      <w:pPr>
        <w:ind w:left="780" w:hanging="420"/>
      </w:pPr>
    </w:lvl>
    <w:lvl w:ilvl="3" w:tentative="0">
      <w:start w:val="1"/>
      <w:numFmt w:val="decimal"/>
      <w:lvlText w:val="%4."/>
      <w:lvlJc w:val="left"/>
      <w:pPr>
        <w:ind w:left="1200" w:hanging="420"/>
      </w:pPr>
    </w:lvl>
    <w:lvl w:ilvl="4" w:tentative="0">
      <w:start w:val="1"/>
      <w:numFmt w:val="lowerLetter"/>
      <w:lvlText w:val="%5)"/>
      <w:lvlJc w:val="left"/>
      <w:pPr>
        <w:ind w:left="1620" w:hanging="420"/>
      </w:pPr>
    </w:lvl>
    <w:lvl w:ilvl="5" w:tentative="0">
      <w:start w:val="1"/>
      <w:numFmt w:val="lowerRoman"/>
      <w:lvlText w:val="%6."/>
      <w:lvlJc w:val="right"/>
      <w:pPr>
        <w:ind w:left="2040" w:hanging="420"/>
      </w:pPr>
    </w:lvl>
    <w:lvl w:ilvl="6" w:tentative="0">
      <w:start w:val="1"/>
      <w:numFmt w:val="decimal"/>
      <w:lvlText w:val="%7."/>
      <w:lvlJc w:val="left"/>
      <w:pPr>
        <w:ind w:left="2460" w:hanging="420"/>
      </w:pPr>
    </w:lvl>
    <w:lvl w:ilvl="7" w:tentative="0">
      <w:start w:val="1"/>
      <w:numFmt w:val="lowerLetter"/>
      <w:lvlText w:val="%8)"/>
      <w:lvlJc w:val="left"/>
      <w:pPr>
        <w:ind w:left="2880" w:hanging="420"/>
      </w:pPr>
    </w:lvl>
    <w:lvl w:ilvl="8" w:tentative="0">
      <w:start w:val="1"/>
      <w:numFmt w:val="lowerRoman"/>
      <w:lvlText w:val="%9."/>
      <w:lvlJc w:val="right"/>
      <w:pPr>
        <w:ind w:left="33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5536"/>
    <w:rsid w:val="000001E5"/>
    <w:rsid w:val="000519DC"/>
    <w:rsid w:val="00066D0C"/>
    <w:rsid w:val="000B710C"/>
    <w:rsid w:val="000D017E"/>
    <w:rsid w:val="00116ECF"/>
    <w:rsid w:val="00165DCC"/>
    <w:rsid w:val="0017618D"/>
    <w:rsid w:val="001E4000"/>
    <w:rsid w:val="001F317C"/>
    <w:rsid w:val="0020185A"/>
    <w:rsid w:val="00205BD5"/>
    <w:rsid w:val="00225468"/>
    <w:rsid w:val="0024604C"/>
    <w:rsid w:val="002827AB"/>
    <w:rsid w:val="002C6ADA"/>
    <w:rsid w:val="002F2428"/>
    <w:rsid w:val="00330422"/>
    <w:rsid w:val="00377118"/>
    <w:rsid w:val="00382E3E"/>
    <w:rsid w:val="00391E91"/>
    <w:rsid w:val="00397853"/>
    <w:rsid w:val="003B756A"/>
    <w:rsid w:val="003C2FB7"/>
    <w:rsid w:val="004432F6"/>
    <w:rsid w:val="004462BC"/>
    <w:rsid w:val="00463CC3"/>
    <w:rsid w:val="004A06E6"/>
    <w:rsid w:val="00554B93"/>
    <w:rsid w:val="0066071A"/>
    <w:rsid w:val="00671E41"/>
    <w:rsid w:val="006B2039"/>
    <w:rsid w:val="006E3206"/>
    <w:rsid w:val="00730453"/>
    <w:rsid w:val="00730A7E"/>
    <w:rsid w:val="0073473C"/>
    <w:rsid w:val="00767175"/>
    <w:rsid w:val="00793FD8"/>
    <w:rsid w:val="007B1A38"/>
    <w:rsid w:val="007C6F51"/>
    <w:rsid w:val="00824AF2"/>
    <w:rsid w:val="00883513"/>
    <w:rsid w:val="008D6DB7"/>
    <w:rsid w:val="008E7DC2"/>
    <w:rsid w:val="009811C7"/>
    <w:rsid w:val="009F7CA5"/>
    <w:rsid w:val="00A17A86"/>
    <w:rsid w:val="00A31629"/>
    <w:rsid w:val="00A322BA"/>
    <w:rsid w:val="00A41920"/>
    <w:rsid w:val="00A70BDE"/>
    <w:rsid w:val="00AA34F3"/>
    <w:rsid w:val="00AD79AB"/>
    <w:rsid w:val="00B1748F"/>
    <w:rsid w:val="00B230CB"/>
    <w:rsid w:val="00B30007"/>
    <w:rsid w:val="00B37DEC"/>
    <w:rsid w:val="00B575F2"/>
    <w:rsid w:val="00B65A19"/>
    <w:rsid w:val="00B81A74"/>
    <w:rsid w:val="00B9573E"/>
    <w:rsid w:val="00BA0555"/>
    <w:rsid w:val="00BB2768"/>
    <w:rsid w:val="00BD23D5"/>
    <w:rsid w:val="00C359D6"/>
    <w:rsid w:val="00C54533"/>
    <w:rsid w:val="00C62CC5"/>
    <w:rsid w:val="00C72D50"/>
    <w:rsid w:val="00C75F8D"/>
    <w:rsid w:val="00C76CCB"/>
    <w:rsid w:val="00CA0F06"/>
    <w:rsid w:val="00CA631C"/>
    <w:rsid w:val="00CD5536"/>
    <w:rsid w:val="00D0108B"/>
    <w:rsid w:val="00D255D3"/>
    <w:rsid w:val="00D40523"/>
    <w:rsid w:val="00D43FE8"/>
    <w:rsid w:val="00D56F1C"/>
    <w:rsid w:val="00D76656"/>
    <w:rsid w:val="00D93952"/>
    <w:rsid w:val="00E16A2E"/>
    <w:rsid w:val="00E320E2"/>
    <w:rsid w:val="00E374A1"/>
    <w:rsid w:val="00EA43FF"/>
    <w:rsid w:val="00EA4E0C"/>
    <w:rsid w:val="00EB30A6"/>
    <w:rsid w:val="00EF7FEC"/>
    <w:rsid w:val="00F24087"/>
    <w:rsid w:val="00F72090"/>
    <w:rsid w:val="00FC64A5"/>
    <w:rsid w:val="00FC6DCB"/>
    <w:rsid w:val="02917391"/>
    <w:rsid w:val="12EA46E3"/>
    <w:rsid w:val="1BFA1764"/>
    <w:rsid w:val="1CD23FE5"/>
    <w:rsid w:val="1E851C82"/>
    <w:rsid w:val="2F112096"/>
    <w:rsid w:val="46EA40A0"/>
    <w:rsid w:val="4AF33E5D"/>
    <w:rsid w:val="50387286"/>
    <w:rsid w:val="5FCB2D38"/>
    <w:rsid w:val="617041DA"/>
    <w:rsid w:val="639B46CA"/>
    <w:rsid w:val="7E79251B"/>
    <w:rsid w:val="7EC31A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iPriority="99" w:name="page number"/>
    <w:lsdException w:qFormat="1" w:uiPriority="99" w:semiHidden="0" w:name="endnote reference"/>
    <w:lsdException w:qFormat="1" w:uiPriority="99" w:semiHidden="0" w:name="endnote text"/>
    <w:lsdException w:uiPriority="99" w:name="table of authorities"/>
    <w:lsdException w:uiPriority="99" w:name="macro"/>
    <w:lsdException w:qFormat="1" w:unhideWhenUsed="0" w:uiPriority="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qFormat="1" w:unhideWhenUsed="0" w:uiPriority="0" w:semiHidden="0"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99" w:semiHidden="0" w:name="Salutation"/>
    <w:lsdException w:qFormat="1" w:unhideWhenUsed="0" w:uiPriority="99" w:semiHidden="0" w:name="Date"/>
    <w:lsdException w:uiPriority="99" w:name="Body Text First Indent"/>
    <w:lsdException w:uiPriority="99" w:name="Body Text First Indent 2"/>
    <w:lsdException w:qFormat="1"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53"/>
    <w:qFormat/>
    <w:uiPriority w:val="99"/>
    <w:pPr>
      <w:keepNext/>
      <w:keepLines/>
      <w:spacing w:before="340" w:after="330" w:line="578" w:lineRule="auto"/>
      <w:outlineLvl w:val="0"/>
    </w:pPr>
    <w:rPr>
      <w:b/>
      <w:bCs/>
      <w:kern w:val="44"/>
      <w:sz w:val="44"/>
      <w:szCs w:val="44"/>
    </w:rPr>
  </w:style>
  <w:style w:type="paragraph" w:styleId="3">
    <w:name w:val="heading 2"/>
    <w:basedOn w:val="1"/>
    <w:next w:val="1"/>
    <w:link w:val="55"/>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56"/>
    <w:qFormat/>
    <w:uiPriority w:val="9"/>
    <w:pPr>
      <w:keepNext/>
      <w:keepLines/>
      <w:spacing w:before="60" w:after="60"/>
      <w:outlineLvl w:val="2"/>
    </w:pPr>
    <w:rPr>
      <w:rFonts w:ascii="Calibri" w:hAnsi="Calibri" w:eastAsia="宋体" w:cs="Times New Roman"/>
      <w:b/>
      <w:bCs/>
      <w:szCs w:val="32"/>
    </w:rPr>
  </w:style>
  <w:style w:type="paragraph" w:styleId="5">
    <w:name w:val="heading 4"/>
    <w:basedOn w:val="1"/>
    <w:next w:val="1"/>
    <w:link w:val="57"/>
    <w:qFormat/>
    <w:uiPriority w:val="9"/>
    <w:pPr>
      <w:keepNext/>
      <w:keepLines/>
      <w:spacing w:before="60" w:after="60"/>
      <w:outlineLvl w:val="3"/>
    </w:pPr>
    <w:rPr>
      <w:rFonts w:ascii="Cambria" w:hAnsi="Cambria" w:eastAsia="宋体" w:cs="Times New Roman"/>
      <w:b/>
      <w:bCs/>
      <w:szCs w:val="28"/>
    </w:rPr>
  </w:style>
  <w:style w:type="paragraph" w:styleId="6">
    <w:name w:val="heading 5"/>
    <w:basedOn w:val="1"/>
    <w:next w:val="1"/>
    <w:link w:val="58"/>
    <w:qFormat/>
    <w:uiPriority w:val="9"/>
    <w:pPr>
      <w:keepNext/>
      <w:keepLines/>
      <w:spacing w:before="60" w:after="60"/>
      <w:outlineLvl w:val="4"/>
    </w:pPr>
    <w:rPr>
      <w:rFonts w:ascii="Calibri" w:hAnsi="Calibri" w:eastAsia="宋体" w:cs="Times New Roman"/>
      <w:b/>
      <w:bCs/>
      <w:szCs w:val="28"/>
    </w:rPr>
  </w:style>
  <w:style w:type="paragraph" w:styleId="7">
    <w:name w:val="heading 6"/>
    <w:basedOn w:val="1"/>
    <w:next w:val="1"/>
    <w:link w:val="59"/>
    <w:unhideWhenUsed/>
    <w:qFormat/>
    <w:uiPriority w:val="9"/>
    <w:pPr>
      <w:keepNext/>
      <w:keepLines/>
      <w:widowControl/>
      <w:spacing w:before="60" w:after="60"/>
      <w:jc w:val="left"/>
      <w:outlineLvl w:val="5"/>
    </w:pPr>
    <w:rPr>
      <w:rFonts w:eastAsia="宋体" w:asciiTheme="majorHAnsi" w:hAnsiTheme="majorHAnsi" w:cstheme="majorBidi"/>
      <w:b/>
      <w:bCs/>
      <w:kern w:val="0"/>
      <w:szCs w:val="24"/>
    </w:rPr>
  </w:style>
  <w:style w:type="paragraph" w:styleId="8">
    <w:name w:val="heading 7"/>
    <w:basedOn w:val="1"/>
    <w:next w:val="1"/>
    <w:link w:val="60"/>
    <w:unhideWhenUsed/>
    <w:qFormat/>
    <w:uiPriority w:val="9"/>
    <w:pPr>
      <w:keepNext/>
      <w:keepLines/>
      <w:widowControl/>
      <w:spacing w:before="240" w:after="64" w:line="320" w:lineRule="auto"/>
      <w:jc w:val="left"/>
      <w:outlineLvl w:val="6"/>
    </w:pPr>
    <w:rPr>
      <w:rFonts w:ascii="宋体" w:hAnsi="宋体" w:eastAsia="宋体" w:cs="宋体"/>
      <w:b/>
      <w:bCs/>
      <w:kern w:val="0"/>
      <w:sz w:val="24"/>
      <w:szCs w:val="24"/>
    </w:rPr>
  </w:style>
  <w:style w:type="character" w:default="1" w:styleId="39">
    <w:name w:val="Default Paragraph Font"/>
    <w:unhideWhenUsed/>
    <w:qFormat/>
    <w:uiPriority w:val="1"/>
  </w:style>
  <w:style w:type="table" w:default="1" w:styleId="37">
    <w:name w:val="Normal Table"/>
    <w:unhideWhenUsed/>
    <w:qFormat/>
    <w:uiPriority w:val="99"/>
    <w:tblPr>
      <w:tblCellMar>
        <w:top w:w="0" w:type="dxa"/>
        <w:left w:w="108" w:type="dxa"/>
        <w:bottom w:w="0" w:type="dxa"/>
        <w:right w:w="108" w:type="dxa"/>
      </w:tblCellMar>
    </w:tblPr>
  </w:style>
  <w:style w:type="paragraph" w:styleId="9">
    <w:name w:val="toc 7"/>
    <w:basedOn w:val="1"/>
    <w:next w:val="1"/>
    <w:unhideWhenUsed/>
    <w:qFormat/>
    <w:uiPriority w:val="39"/>
    <w:pPr>
      <w:ind w:left="2520" w:leftChars="1200"/>
    </w:pPr>
  </w:style>
  <w:style w:type="paragraph" w:styleId="10">
    <w:name w:val="Note Heading"/>
    <w:basedOn w:val="1"/>
    <w:next w:val="1"/>
    <w:link w:val="69"/>
    <w:qFormat/>
    <w:uiPriority w:val="99"/>
    <w:pPr>
      <w:jc w:val="center"/>
    </w:pPr>
    <w:rPr>
      <w:rFonts w:ascii="Times New Roman" w:hAnsi="Times New Roman" w:eastAsia="宋体" w:cs="Times New Roman"/>
      <w:szCs w:val="21"/>
    </w:rPr>
  </w:style>
  <w:style w:type="paragraph" w:styleId="11">
    <w:name w:val="Normal Indent"/>
    <w:basedOn w:val="1"/>
    <w:qFormat/>
    <w:uiPriority w:val="0"/>
    <w:pPr>
      <w:ind w:firstLine="420" w:firstLineChars="200"/>
    </w:pPr>
    <w:rPr>
      <w:rFonts w:ascii="Times New Roman" w:hAnsi="Times New Roman" w:eastAsia="宋体" w:cs="Times New Roman"/>
      <w:szCs w:val="21"/>
    </w:rPr>
  </w:style>
  <w:style w:type="paragraph" w:styleId="12">
    <w:name w:val="caption"/>
    <w:basedOn w:val="1"/>
    <w:next w:val="1"/>
    <w:unhideWhenUsed/>
    <w:qFormat/>
    <w:uiPriority w:val="35"/>
    <w:rPr>
      <w:rFonts w:eastAsia="黑体" w:asciiTheme="majorHAnsi" w:hAnsiTheme="majorHAnsi" w:cstheme="majorBidi"/>
      <w:sz w:val="20"/>
      <w:szCs w:val="20"/>
    </w:rPr>
  </w:style>
  <w:style w:type="paragraph" w:styleId="13">
    <w:name w:val="Document Map"/>
    <w:basedOn w:val="1"/>
    <w:link w:val="74"/>
    <w:unhideWhenUsed/>
    <w:qFormat/>
    <w:uiPriority w:val="99"/>
    <w:rPr>
      <w:rFonts w:ascii="宋体" w:hAnsi="Calibri" w:eastAsia="宋体" w:cs="Times New Roman"/>
      <w:sz w:val="18"/>
      <w:szCs w:val="18"/>
    </w:rPr>
  </w:style>
  <w:style w:type="paragraph" w:styleId="14">
    <w:name w:val="toa heading"/>
    <w:basedOn w:val="1"/>
    <w:next w:val="1"/>
    <w:semiHidden/>
    <w:qFormat/>
    <w:uiPriority w:val="0"/>
    <w:pPr>
      <w:spacing w:before="120"/>
    </w:pPr>
    <w:rPr>
      <w:rFonts w:ascii="Arial" w:hAnsi="Arial" w:eastAsia="宋体" w:cs="Times New Roman"/>
      <w:b/>
      <w:bCs/>
      <w:szCs w:val="21"/>
    </w:rPr>
  </w:style>
  <w:style w:type="paragraph" w:styleId="15">
    <w:name w:val="annotation text"/>
    <w:basedOn w:val="1"/>
    <w:link w:val="50"/>
    <w:unhideWhenUsed/>
    <w:qFormat/>
    <w:uiPriority w:val="99"/>
    <w:pPr>
      <w:jc w:val="left"/>
    </w:pPr>
  </w:style>
  <w:style w:type="paragraph" w:styleId="16">
    <w:name w:val="Salutation"/>
    <w:basedOn w:val="1"/>
    <w:next w:val="1"/>
    <w:link w:val="61"/>
    <w:qFormat/>
    <w:uiPriority w:val="99"/>
    <w:rPr>
      <w:rFonts w:ascii="Times New Roman" w:hAnsi="Times New Roman" w:eastAsia="宋体" w:cs="Times New Roman"/>
      <w:szCs w:val="21"/>
    </w:rPr>
  </w:style>
  <w:style w:type="paragraph" w:styleId="17">
    <w:name w:val="List Bullet 3"/>
    <w:basedOn w:val="1"/>
    <w:qFormat/>
    <w:uiPriority w:val="0"/>
    <w:pPr>
      <w:tabs>
        <w:tab w:val="left" w:pos="1200"/>
      </w:tabs>
    </w:pPr>
    <w:rPr>
      <w:rFonts w:ascii="Times New Roman" w:hAnsi="Times New Roman" w:eastAsia="宋体" w:cs="Times New Roman"/>
      <w:szCs w:val="21"/>
    </w:rPr>
  </w:style>
  <w:style w:type="paragraph" w:styleId="18">
    <w:name w:val="Body Text"/>
    <w:basedOn w:val="1"/>
    <w:link w:val="66"/>
    <w:qFormat/>
    <w:uiPriority w:val="99"/>
    <w:pPr>
      <w:spacing w:after="120"/>
    </w:pPr>
    <w:rPr>
      <w:rFonts w:ascii="Times New Roman" w:hAnsi="Times New Roman" w:eastAsia="宋体" w:cs="Times New Roman"/>
      <w:szCs w:val="21"/>
    </w:rPr>
  </w:style>
  <w:style w:type="paragraph" w:styleId="19">
    <w:name w:val="toc 5"/>
    <w:basedOn w:val="1"/>
    <w:next w:val="1"/>
    <w:unhideWhenUsed/>
    <w:qFormat/>
    <w:uiPriority w:val="39"/>
    <w:pPr>
      <w:ind w:left="1680" w:leftChars="800"/>
    </w:pPr>
  </w:style>
  <w:style w:type="paragraph" w:styleId="20">
    <w:name w:val="toc 3"/>
    <w:basedOn w:val="1"/>
    <w:next w:val="1"/>
    <w:unhideWhenUsed/>
    <w:qFormat/>
    <w:uiPriority w:val="39"/>
    <w:pPr>
      <w:widowControl/>
      <w:spacing w:after="100" w:line="276" w:lineRule="auto"/>
      <w:ind w:left="440"/>
      <w:jc w:val="left"/>
    </w:pPr>
    <w:rPr>
      <w:rFonts w:ascii="Calibri" w:hAnsi="Calibri" w:eastAsia="宋体" w:cs="Times New Roman"/>
      <w:kern w:val="0"/>
      <w:sz w:val="22"/>
    </w:rPr>
  </w:style>
  <w:style w:type="paragraph" w:styleId="21">
    <w:name w:val="Plain Text"/>
    <w:basedOn w:val="1"/>
    <w:link w:val="64"/>
    <w:qFormat/>
    <w:uiPriority w:val="0"/>
    <w:rPr>
      <w:rFonts w:ascii="宋体" w:hAnsi="Courier New" w:eastAsia="宋体" w:cs="Times New Roman"/>
      <w:szCs w:val="20"/>
    </w:rPr>
  </w:style>
  <w:style w:type="paragraph" w:styleId="22">
    <w:name w:val="toc 8"/>
    <w:basedOn w:val="1"/>
    <w:next w:val="1"/>
    <w:unhideWhenUsed/>
    <w:qFormat/>
    <w:uiPriority w:val="39"/>
    <w:pPr>
      <w:ind w:left="2940" w:leftChars="1400"/>
    </w:pPr>
  </w:style>
  <w:style w:type="paragraph" w:styleId="23">
    <w:name w:val="Date"/>
    <w:basedOn w:val="1"/>
    <w:next w:val="1"/>
    <w:link w:val="68"/>
    <w:qFormat/>
    <w:uiPriority w:val="99"/>
    <w:pPr>
      <w:ind w:left="100" w:leftChars="2500"/>
    </w:pPr>
    <w:rPr>
      <w:rFonts w:ascii="Times New Roman" w:hAnsi="Times New Roman" w:eastAsia="宋体" w:cs="Times New Roman"/>
      <w:szCs w:val="21"/>
    </w:rPr>
  </w:style>
  <w:style w:type="paragraph" w:styleId="24">
    <w:name w:val="endnote text"/>
    <w:basedOn w:val="1"/>
    <w:link w:val="78"/>
    <w:unhideWhenUsed/>
    <w:qFormat/>
    <w:uiPriority w:val="99"/>
    <w:pPr>
      <w:widowControl/>
      <w:snapToGrid w:val="0"/>
      <w:jc w:val="left"/>
    </w:pPr>
    <w:rPr>
      <w:rFonts w:ascii="宋体" w:hAnsi="宋体" w:eastAsia="宋体" w:cs="宋体"/>
      <w:kern w:val="0"/>
      <w:szCs w:val="24"/>
    </w:rPr>
  </w:style>
  <w:style w:type="paragraph" w:styleId="25">
    <w:name w:val="Balloon Text"/>
    <w:basedOn w:val="1"/>
    <w:link w:val="52"/>
    <w:unhideWhenUsed/>
    <w:qFormat/>
    <w:uiPriority w:val="99"/>
    <w:rPr>
      <w:sz w:val="18"/>
      <w:szCs w:val="18"/>
    </w:rPr>
  </w:style>
  <w:style w:type="paragraph" w:styleId="26">
    <w:name w:val="footer"/>
    <w:basedOn w:val="1"/>
    <w:link w:val="44"/>
    <w:unhideWhenUsed/>
    <w:qFormat/>
    <w:uiPriority w:val="99"/>
    <w:pPr>
      <w:tabs>
        <w:tab w:val="center" w:pos="4153"/>
        <w:tab w:val="right" w:pos="8306"/>
      </w:tabs>
      <w:snapToGrid w:val="0"/>
      <w:jc w:val="left"/>
    </w:pPr>
    <w:rPr>
      <w:sz w:val="18"/>
      <w:szCs w:val="18"/>
    </w:rPr>
  </w:style>
  <w:style w:type="paragraph" w:styleId="27">
    <w:name w:val="header"/>
    <w:basedOn w:val="1"/>
    <w:link w:val="43"/>
    <w:unhideWhenUsed/>
    <w:qFormat/>
    <w:uiPriority w:val="99"/>
    <w:pPr>
      <w:pBdr>
        <w:bottom w:val="single" w:color="auto" w:sz="6" w:space="1"/>
      </w:pBdr>
      <w:tabs>
        <w:tab w:val="center" w:pos="4153"/>
        <w:tab w:val="right" w:pos="8306"/>
      </w:tabs>
      <w:snapToGrid w:val="0"/>
      <w:jc w:val="center"/>
    </w:pPr>
    <w:rPr>
      <w:sz w:val="18"/>
      <w:szCs w:val="18"/>
    </w:rPr>
  </w:style>
  <w:style w:type="paragraph" w:styleId="28">
    <w:name w:val="toc 1"/>
    <w:basedOn w:val="1"/>
    <w:next w:val="1"/>
    <w:unhideWhenUsed/>
    <w:qFormat/>
    <w:uiPriority w:val="39"/>
  </w:style>
  <w:style w:type="paragraph" w:styleId="29">
    <w:name w:val="toc 4"/>
    <w:basedOn w:val="1"/>
    <w:next w:val="1"/>
    <w:unhideWhenUsed/>
    <w:qFormat/>
    <w:uiPriority w:val="39"/>
    <w:pPr>
      <w:ind w:left="1260" w:leftChars="600"/>
    </w:pPr>
  </w:style>
  <w:style w:type="paragraph" w:styleId="30">
    <w:name w:val="toc 6"/>
    <w:basedOn w:val="1"/>
    <w:next w:val="1"/>
    <w:unhideWhenUsed/>
    <w:qFormat/>
    <w:uiPriority w:val="39"/>
    <w:pPr>
      <w:ind w:left="2100" w:leftChars="1000"/>
    </w:pPr>
  </w:style>
  <w:style w:type="paragraph" w:styleId="31">
    <w:name w:val="toc 2"/>
    <w:basedOn w:val="1"/>
    <w:next w:val="1"/>
    <w:unhideWhenUsed/>
    <w:qFormat/>
    <w:uiPriority w:val="39"/>
    <w:pPr>
      <w:ind w:left="420" w:leftChars="200"/>
    </w:pPr>
  </w:style>
  <w:style w:type="paragraph" w:styleId="32">
    <w:name w:val="toc 9"/>
    <w:basedOn w:val="1"/>
    <w:next w:val="1"/>
    <w:unhideWhenUsed/>
    <w:qFormat/>
    <w:uiPriority w:val="39"/>
    <w:pPr>
      <w:ind w:left="3360" w:leftChars="1600"/>
    </w:pPr>
  </w:style>
  <w:style w:type="paragraph" w:styleId="33">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34">
    <w:name w:val="index 1"/>
    <w:basedOn w:val="1"/>
    <w:next w:val="1"/>
    <w:semiHidden/>
    <w:qFormat/>
    <w:uiPriority w:val="0"/>
    <w:pPr>
      <w:widowControl/>
      <w:ind w:firstLine="420" w:firstLineChars="200"/>
      <w:jc w:val="left"/>
    </w:pPr>
    <w:rPr>
      <w:rFonts w:ascii="宋体" w:hAnsi="宋体" w:eastAsia="宋体" w:cs="Times New Roman"/>
      <w:color w:val="000000"/>
      <w:kern w:val="0"/>
      <w:szCs w:val="21"/>
    </w:rPr>
  </w:style>
  <w:style w:type="paragraph" w:styleId="35">
    <w:name w:val="Title"/>
    <w:basedOn w:val="1"/>
    <w:next w:val="1"/>
    <w:link w:val="76"/>
    <w:qFormat/>
    <w:uiPriority w:val="0"/>
    <w:pPr>
      <w:spacing w:before="240" w:after="60"/>
      <w:jc w:val="center"/>
      <w:outlineLvl w:val="0"/>
    </w:pPr>
    <w:rPr>
      <w:rFonts w:eastAsia="宋体" w:asciiTheme="majorHAnsi" w:hAnsiTheme="majorHAnsi" w:cstheme="majorBidi"/>
      <w:b/>
      <w:bCs/>
      <w:sz w:val="32"/>
      <w:szCs w:val="32"/>
    </w:rPr>
  </w:style>
  <w:style w:type="paragraph" w:styleId="36">
    <w:name w:val="annotation subject"/>
    <w:basedOn w:val="15"/>
    <w:next w:val="15"/>
    <w:link w:val="51"/>
    <w:unhideWhenUsed/>
    <w:qFormat/>
    <w:uiPriority w:val="99"/>
    <w:rPr>
      <w:b/>
      <w:bCs/>
    </w:rPr>
  </w:style>
  <w:style w:type="table" w:styleId="38">
    <w:name w:val="Table Grid"/>
    <w:basedOn w:val="3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0">
    <w:name w:val="endnote reference"/>
    <w:basedOn w:val="39"/>
    <w:unhideWhenUsed/>
    <w:qFormat/>
    <w:uiPriority w:val="99"/>
    <w:rPr>
      <w:vertAlign w:val="superscript"/>
    </w:rPr>
  </w:style>
  <w:style w:type="character" w:styleId="41">
    <w:name w:val="Hyperlink"/>
    <w:basedOn w:val="39"/>
    <w:unhideWhenUsed/>
    <w:qFormat/>
    <w:uiPriority w:val="99"/>
    <w:rPr>
      <w:color w:val="0563C1" w:themeColor="hyperlink"/>
      <w:u w:val="single"/>
      <w14:textFill>
        <w14:solidFill>
          <w14:schemeClr w14:val="hlink"/>
        </w14:solidFill>
      </w14:textFill>
    </w:rPr>
  </w:style>
  <w:style w:type="character" w:styleId="42">
    <w:name w:val="annotation reference"/>
    <w:basedOn w:val="39"/>
    <w:unhideWhenUsed/>
    <w:qFormat/>
    <w:uiPriority w:val="0"/>
    <w:rPr>
      <w:sz w:val="21"/>
      <w:szCs w:val="21"/>
    </w:rPr>
  </w:style>
  <w:style w:type="character" w:customStyle="1" w:styleId="43">
    <w:name w:val="页眉 字符"/>
    <w:basedOn w:val="39"/>
    <w:link w:val="27"/>
    <w:qFormat/>
    <w:uiPriority w:val="99"/>
    <w:rPr>
      <w:sz w:val="18"/>
      <w:szCs w:val="18"/>
    </w:rPr>
  </w:style>
  <w:style w:type="character" w:customStyle="1" w:styleId="44">
    <w:name w:val="页脚 字符"/>
    <w:basedOn w:val="39"/>
    <w:link w:val="26"/>
    <w:uiPriority w:val="99"/>
    <w:rPr>
      <w:sz w:val="18"/>
      <w:szCs w:val="18"/>
    </w:rPr>
  </w:style>
  <w:style w:type="paragraph" w:customStyle="1" w:styleId="45">
    <w:name w:val="aSTL正文"/>
    <w:basedOn w:val="1"/>
    <w:link w:val="46"/>
    <w:qFormat/>
    <w:uiPriority w:val="0"/>
    <w:pPr>
      <w:spacing w:line="300" w:lineRule="auto"/>
      <w:ind w:firstLine="200" w:firstLineChars="200"/>
    </w:pPr>
    <w:rPr>
      <w:rFonts w:ascii="Calibri" w:hAnsi="Calibri" w:eastAsia="宋体" w:cs="Times New Roman"/>
      <w:kern w:val="0"/>
      <w:sz w:val="24"/>
      <w:szCs w:val="20"/>
    </w:rPr>
  </w:style>
  <w:style w:type="character" w:customStyle="1" w:styleId="46">
    <w:name w:val="aSTL正文 Char"/>
    <w:link w:val="45"/>
    <w:uiPriority w:val="0"/>
    <w:rPr>
      <w:rFonts w:ascii="Calibri" w:hAnsi="Calibri" w:eastAsia="宋体" w:cs="Times New Roman"/>
      <w:kern w:val="0"/>
      <w:sz w:val="24"/>
      <w:szCs w:val="20"/>
    </w:rPr>
  </w:style>
  <w:style w:type="paragraph" w:customStyle="1" w:styleId="47">
    <w:name w:val="4.1.1.1.1"/>
    <w:basedOn w:val="1"/>
    <w:link w:val="48"/>
    <w:uiPriority w:val="0"/>
    <w:pPr>
      <w:tabs>
        <w:tab w:val="left" w:pos="142"/>
      </w:tabs>
      <w:spacing w:beforeLines="50" w:afterLines="50"/>
      <w:ind w:left="200" w:leftChars="200"/>
      <w:jc w:val="left"/>
      <w:outlineLvl w:val="3"/>
    </w:pPr>
    <w:rPr>
      <w:rFonts w:ascii="宋体" w:hAnsi="宋体" w:eastAsia="宋体" w:cs="Times New Roman"/>
      <w:b/>
      <w:color w:val="000000"/>
      <w:kern w:val="0"/>
      <w:sz w:val="24"/>
      <w:szCs w:val="24"/>
    </w:rPr>
  </w:style>
  <w:style w:type="character" w:customStyle="1" w:styleId="48">
    <w:name w:val="4.1.1.1.1 Char"/>
    <w:link w:val="47"/>
    <w:qFormat/>
    <w:uiPriority w:val="0"/>
    <w:rPr>
      <w:rFonts w:ascii="宋体" w:hAnsi="宋体" w:eastAsia="宋体" w:cs="Times New Roman"/>
      <w:b/>
      <w:color w:val="000000"/>
      <w:kern w:val="0"/>
      <w:sz w:val="24"/>
      <w:szCs w:val="24"/>
    </w:rPr>
  </w:style>
  <w:style w:type="paragraph" w:customStyle="1" w:styleId="49">
    <w:name w:val="List Paragraph"/>
    <w:basedOn w:val="1"/>
    <w:qFormat/>
    <w:uiPriority w:val="34"/>
    <w:pPr>
      <w:ind w:firstLine="420" w:firstLineChars="200"/>
    </w:pPr>
    <w:rPr>
      <w:rFonts w:ascii="Calibri" w:hAnsi="Calibri" w:eastAsia="宋体" w:cs="Times New Roman"/>
    </w:rPr>
  </w:style>
  <w:style w:type="character" w:customStyle="1" w:styleId="50">
    <w:name w:val="批注文字 字符"/>
    <w:basedOn w:val="39"/>
    <w:link w:val="15"/>
    <w:qFormat/>
    <w:uiPriority w:val="99"/>
  </w:style>
  <w:style w:type="character" w:customStyle="1" w:styleId="51">
    <w:name w:val="批注主题 字符"/>
    <w:basedOn w:val="50"/>
    <w:link w:val="36"/>
    <w:qFormat/>
    <w:uiPriority w:val="99"/>
    <w:rPr>
      <w:b/>
      <w:bCs/>
    </w:rPr>
  </w:style>
  <w:style w:type="character" w:customStyle="1" w:styleId="52">
    <w:name w:val="批注框文本 字符"/>
    <w:basedOn w:val="39"/>
    <w:link w:val="25"/>
    <w:qFormat/>
    <w:uiPriority w:val="99"/>
    <w:rPr>
      <w:sz w:val="18"/>
      <w:szCs w:val="18"/>
    </w:rPr>
  </w:style>
  <w:style w:type="character" w:customStyle="1" w:styleId="53">
    <w:name w:val="标题 1 字符"/>
    <w:basedOn w:val="39"/>
    <w:link w:val="2"/>
    <w:qFormat/>
    <w:uiPriority w:val="99"/>
    <w:rPr>
      <w:b/>
      <w:bCs/>
      <w:kern w:val="44"/>
      <w:sz w:val="44"/>
      <w:szCs w:val="44"/>
    </w:rPr>
  </w:style>
  <w:style w:type="paragraph" w:customStyle="1" w:styleId="54">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55">
    <w:name w:val="标题 2 字符"/>
    <w:basedOn w:val="39"/>
    <w:link w:val="3"/>
    <w:qFormat/>
    <w:uiPriority w:val="0"/>
    <w:rPr>
      <w:rFonts w:asciiTheme="majorHAnsi" w:hAnsiTheme="majorHAnsi" w:eastAsiaTheme="majorEastAsia" w:cstheme="majorBidi"/>
      <w:b/>
      <w:bCs/>
      <w:sz w:val="32"/>
      <w:szCs w:val="32"/>
    </w:rPr>
  </w:style>
  <w:style w:type="character" w:customStyle="1" w:styleId="56">
    <w:name w:val="标题 3 字符"/>
    <w:basedOn w:val="39"/>
    <w:link w:val="4"/>
    <w:qFormat/>
    <w:uiPriority w:val="9"/>
    <w:rPr>
      <w:rFonts w:ascii="Calibri" w:hAnsi="Calibri" w:eastAsia="宋体" w:cs="Times New Roman"/>
      <w:b/>
      <w:bCs/>
      <w:szCs w:val="32"/>
    </w:rPr>
  </w:style>
  <w:style w:type="character" w:customStyle="1" w:styleId="57">
    <w:name w:val="标题 4 字符"/>
    <w:basedOn w:val="39"/>
    <w:link w:val="5"/>
    <w:qFormat/>
    <w:uiPriority w:val="9"/>
    <w:rPr>
      <w:rFonts w:ascii="Cambria" w:hAnsi="Cambria" w:eastAsia="宋体" w:cs="Times New Roman"/>
      <w:b/>
      <w:bCs/>
      <w:szCs w:val="28"/>
    </w:rPr>
  </w:style>
  <w:style w:type="character" w:customStyle="1" w:styleId="58">
    <w:name w:val="标题 5 字符"/>
    <w:basedOn w:val="39"/>
    <w:link w:val="6"/>
    <w:qFormat/>
    <w:uiPriority w:val="9"/>
    <w:rPr>
      <w:rFonts w:ascii="Calibri" w:hAnsi="Calibri" w:eastAsia="宋体" w:cs="Times New Roman"/>
      <w:b/>
      <w:bCs/>
      <w:szCs w:val="28"/>
    </w:rPr>
  </w:style>
  <w:style w:type="character" w:customStyle="1" w:styleId="59">
    <w:name w:val="标题 6 字符"/>
    <w:basedOn w:val="39"/>
    <w:link w:val="7"/>
    <w:qFormat/>
    <w:uiPriority w:val="9"/>
    <w:rPr>
      <w:rFonts w:eastAsia="宋体" w:asciiTheme="majorHAnsi" w:hAnsiTheme="majorHAnsi" w:cstheme="majorBidi"/>
      <w:b/>
      <w:bCs/>
      <w:kern w:val="0"/>
      <w:szCs w:val="24"/>
    </w:rPr>
  </w:style>
  <w:style w:type="character" w:customStyle="1" w:styleId="60">
    <w:name w:val="标题 7 字符"/>
    <w:basedOn w:val="39"/>
    <w:link w:val="8"/>
    <w:qFormat/>
    <w:uiPriority w:val="9"/>
    <w:rPr>
      <w:rFonts w:ascii="宋体" w:hAnsi="宋体" w:eastAsia="宋体" w:cs="宋体"/>
      <w:b/>
      <w:bCs/>
      <w:kern w:val="0"/>
      <w:sz w:val="24"/>
      <w:szCs w:val="24"/>
    </w:rPr>
  </w:style>
  <w:style w:type="character" w:customStyle="1" w:styleId="61">
    <w:name w:val="称呼 字符"/>
    <w:basedOn w:val="39"/>
    <w:link w:val="16"/>
    <w:qFormat/>
    <w:uiPriority w:val="99"/>
    <w:rPr>
      <w:rFonts w:ascii="Times New Roman" w:hAnsi="Times New Roman" w:eastAsia="宋体" w:cs="Times New Roman"/>
      <w:szCs w:val="21"/>
    </w:rPr>
  </w:style>
  <w:style w:type="character" w:customStyle="1" w:styleId="62">
    <w:name w:val="notnullcss1"/>
    <w:basedOn w:val="39"/>
    <w:qFormat/>
    <w:uiPriority w:val="99"/>
    <w:rPr>
      <w:rFonts w:eastAsia="宋体" w:cs="Times New Roman"/>
      <w:color w:val="FF0000"/>
      <w:kern w:val="2"/>
      <w:sz w:val="24"/>
      <w:szCs w:val="24"/>
      <w:lang w:val="en-US" w:eastAsia="zh-CN" w:bidi="ar-SA"/>
    </w:rPr>
  </w:style>
  <w:style w:type="paragraph" w:customStyle="1" w:styleId="63">
    <w:name w:val="xl61"/>
    <w:basedOn w:val="1"/>
    <w:qFormat/>
    <w:uiPriority w:val="99"/>
    <w:pPr>
      <w:widowControl/>
      <w:spacing w:before="100" w:after="100"/>
      <w:jc w:val="right"/>
    </w:pPr>
    <w:rPr>
      <w:rFonts w:ascii="Arial Unicode MS" w:hAnsi="Times New Roman" w:eastAsia="Arial Unicode MS" w:cs="Times New Roman"/>
      <w:kern w:val="0"/>
      <w:sz w:val="18"/>
      <w:szCs w:val="18"/>
    </w:rPr>
  </w:style>
  <w:style w:type="character" w:customStyle="1" w:styleId="64">
    <w:name w:val="纯文本 字符"/>
    <w:basedOn w:val="39"/>
    <w:link w:val="21"/>
    <w:qFormat/>
    <w:uiPriority w:val="0"/>
    <w:rPr>
      <w:rFonts w:ascii="宋体" w:hAnsi="Courier New" w:eastAsia="宋体" w:cs="Times New Roman"/>
      <w:szCs w:val="20"/>
    </w:rPr>
  </w:style>
  <w:style w:type="character" w:customStyle="1" w:styleId="65">
    <w:name w:val="headline-content2"/>
    <w:basedOn w:val="39"/>
    <w:qFormat/>
    <w:uiPriority w:val="0"/>
    <w:rPr>
      <w:rFonts w:eastAsia="宋体" w:cs="Times New Roman"/>
      <w:kern w:val="2"/>
      <w:sz w:val="24"/>
      <w:szCs w:val="24"/>
      <w:lang w:val="en-US" w:eastAsia="zh-CN" w:bidi="ar-SA"/>
    </w:rPr>
  </w:style>
  <w:style w:type="character" w:customStyle="1" w:styleId="66">
    <w:name w:val="正文文本 字符"/>
    <w:basedOn w:val="39"/>
    <w:link w:val="18"/>
    <w:qFormat/>
    <w:uiPriority w:val="99"/>
    <w:rPr>
      <w:rFonts w:ascii="Times New Roman" w:hAnsi="Times New Roman" w:eastAsia="宋体" w:cs="Times New Roman"/>
      <w:szCs w:val="21"/>
    </w:rPr>
  </w:style>
  <w:style w:type="paragraph" w:customStyle="1" w:styleId="67">
    <w:name w:val="write2"/>
    <w:basedOn w:val="1"/>
    <w:qFormat/>
    <w:uiPriority w:val="99"/>
    <w:pPr>
      <w:widowControl/>
      <w:tabs>
        <w:tab w:val="left" w:pos="709"/>
      </w:tabs>
      <w:overflowPunct w:val="0"/>
      <w:autoSpaceDE w:val="0"/>
      <w:autoSpaceDN w:val="0"/>
      <w:adjustRightInd w:val="0"/>
      <w:textAlignment w:val="baseline"/>
    </w:pPr>
    <w:rPr>
      <w:rFonts w:ascii="Helvetica-Narrow" w:hAnsi="Helvetica-Narrow" w:eastAsia="宋体" w:cs="Times New Roman"/>
      <w:kern w:val="0"/>
      <w:szCs w:val="24"/>
      <w:lang w:val="en-AU"/>
    </w:rPr>
  </w:style>
  <w:style w:type="character" w:customStyle="1" w:styleId="68">
    <w:name w:val="日期 字符"/>
    <w:basedOn w:val="39"/>
    <w:link w:val="23"/>
    <w:qFormat/>
    <w:uiPriority w:val="99"/>
    <w:rPr>
      <w:rFonts w:ascii="Times New Roman" w:hAnsi="Times New Roman" w:eastAsia="宋体" w:cs="Times New Roman"/>
      <w:szCs w:val="21"/>
    </w:rPr>
  </w:style>
  <w:style w:type="character" w:customStyle="1" w:styleId="69">
    <w:name w:val="注释标题 字符"/>
    <w:basedOn w:val="39"/>
    <w:link w:val="10"/>
    <w:qFormat/>
    <w:uiPriority w:val="99"/>
    <w:rPr>
      <w:rFonts w:ascii="Times New Roman" w:hAnsi="Times New Roman" w:eastAsia="宋体" w:cs="Times New Roman"/>
      <w:szCs w:val="21"/>
    </w:rPr>
  </w:style>
  <w:style w:type="paragraph" w:customStyle="1" w:styleId="70">
    <w:name w:val="标题5"/>
    <w:basedOn w:val="1"/>
    <w:qFormat/>
    <w:uiPriority w:val="0"/>
    <w:pPr>
      <w:keepNext/>
      <w:keepLines/>
      <w:spacing w:before="60" w:after="60"/>
      <w:ind w:hanging="420" w:hangingChars="200"/>
      <w:outlineLvl w:val="4"/>
    </w:pPr>
    <w:rPr>
      <w:rFonts w:ascii="宋体" w:hAnsi="宋体" w:eastAsia="宋体" w:cs="Times New Roman"/>
      <w:b/>
      <w:bCs/>
      <w:szCs w:val="21"/>
    </w:rPr>
  </w:style>
  <w:style w:type="paragraph" w:customStyle="1" w:styleId="71">
    <w:name w:val="Revision"/>
    <w:hidden/>
    <w:semiHidden/>
    <w:qFormat/>
    <w:uiPriority w:val="99"/>
    <w:rPr>
      <w:rFonts w:ascii="Calibri" w:hAnsi="Calibri" w:eastAsia="宋体" w:cs="Times New Roman"/>
      <w:kern w:val="2"/>
      <w:sz w:val="21"/>
      <w:szCs w:val="22"/>
      <w:lang w:val="en-US" w:eastAsia="zh-CN" w:bidi="ar-SA"/>
    </w:rPr>
  </w:style>
  <w:style w:type="character" w:customStyle="1" w:styleId="72">
    <w:name w:val="正文的样式 Char"/>
    <w:basedOn w:val="39"/>
    <w:link w:val="73"/>
    <w:qFormat/>
    <w:uiPriority w:val="0"/>
    <w:rPr>
      <w:szCs w:val="24"/>
    </w:rPr>
  </w:style>
  <w:style w:type="paragraph" w:customStyle="1" w:styleId="73">
    <w:name w:val="正文的样式"/>
    <w:basedOn w:val="1"/>
    <w:link w:val="72"/>
    <w:qFormat/>
    <w:uiPriority w:val="0"/>
    <w:pPr>
      <w:spacing w:before="100" w:after="100"/>
    </w:pPr>
    <w:rPr>
      <w:szCs w:val="24"/>
    </w:rPr>
  </w:style>
  <w:style w:type="character" w:customStyle="1" w:styleId="74">
    <w:name w:val="文档结构图 字符"/>
    <w:basedOn w:val="39"/>
    <w:link w:val="13"/>
    <w:semiHidden/>
    <w:qFormat/>
    <w:uiPriority w:val="99"/>
    <w:rPr>
      <w:rFonts w:ascii="宋体" w:hAnsi="Calibri" w:eastAsia="宋体" w:cs="Times New Roman"/>
      <w:sz w:val="18"/>
      <w:szCs w:val="18"/>
    </w:rPr>
  </w:style>
  <w:style w:type="character" w:customStyle="1" w:styleId="75">
    <w:name w:val="Placeholder Text"/>
    <w:basedOn w:val="39"/>
    <w:semiHidden/>
    <w:qFormat/>
    <w:uiPriority w:val="99"/>
    <w:rPr>
      <w:color w:val="auto"/>
    </w:rPr>
  </w:style>
  <w:style w:type="character" w:customStyle="1" w:styleId="76">
    <w:name w:val="标题 字符"/>
    <w:basedOn w:val="39"/>
    <w:link w:val="35"/>
    <w:qFormat/>
    <w:uiPriority w:val="0"/>
    <w:rPr>
      <w:rFonts w:eastAsia="宋体" w:asciiTheme="majorHAnsi" w:hAnsiTheme="majorHAnsi" w:cstheme="majorBidi"/>
      <w:b/>
      <w:bCs/>
      <w:sz w:val="32"/>
      <w:szCs w:val="32"/>
    </w:rPr>
  </w:style>
  <w:style w:type="paragraph" w:customStyle="1" w:styleId="77">
    <w:name w:val="No Spacing"/>
    <w:qFormat/>
    <w:uiPriority w:val="1"/>
    <w:pPr>
      <w:widowControl w:val="0"/>
      <w:jc w:val="both"/>
    </w:pPr>
    <w:rPr>
      <w:rFonts w:ascii="Calibri" w:hAnsi="Calibri" w:eastAsia="宋体" w:cs="Times New Roman"/>
      <w:kern w:val="2"/>
      <w:sz w:val="21"/>
      <w:szCs w:val="22"/>
      <w:lang w:val="en-US" w:eastAsia="zh-CN" w:bidi="ar-SA"/>
    </w:rPr>
  </w:style>
  <w:style w:type="character" w:customStyle="1" w:styleId="78">
    <w:name w:val="尾注文本 字符"/>
    <w:basedOn w:val="39"/>
    <w:link w:val="24"/>
    <w:semiHidden/>
    <w:qFormat/>
    <w:uiPriority w:val="99"/>
    <w:rPr>
      <w:rFonts w:ascii="宋体" w:hAnsi="宋体" w:eastAsia="宋体" w:cs="宋体"/>
      <w:kern w:val="0"/>
      <w:szCs w:val="24"/>
    </w:rPr>
  </w:style>
  <w:style w:type="character" w:customStyle="1" w:styleId="79">
    <w:name w:val="批注主题 Char1"/>
    <w:basedOn w:val="50"/>
    <w:semiHidden/>
    <w:uiPriority w:val="99"/>
    <w:rPr>
      <w:rFonts w:ascii="Times New Roman" w:hAnsi="Times New Roman" w:eastAsia="宋体" w:cs="Times New Roman"/>
      <w:b/>
      <w:bCs/>
      <w:szCs w:val="21"/>
    </w:rPr>
  </w:style>
  <w:style w:type="character" w:customStyle="1" w:styleId="80">
    <w:name w:val="span_"/>
    <w:basedOn w:val="39"/>
    <w:qFormat/>
    <w:uiPriority w:val="0"/>
  </w:style>
  <w:style w:type="paragraph" w:customStyle="1" w:styleId="81">
    <w:name w:val="标题  3"/>
    <w:basedOn w:val="1"/>
    <w:next w:val="1"/>
    <w:link w:val="82"/>
    <w:qFormat/>
    <w:uiPriority w:val="0"/>
    <w:pPr>
      <w:keepNext/>
      <w:keepLines/>
      <w:spacing w:before="100" w:beforeAutospacing="1" w:after="100" w:afterAutospacing="1" w:line="415" w:lineRule="auto"/>
    </w:pPr>
    <w:rPr>
      <w:rFonts w:ascii="Times New Roman" w:hAnsi="Times New Roman" w:eastAsia="宋体" w:cs="Times New Roman"/>
      <w:b/>
      <w:szCs w:val="24"/>
    </w:rPr>
  </w:style>
  <w:style w:type="character" w:customStyle="1" w:styleId="82">
    <w:name w:val="标题  3 Char"/>
    <w:basedOn w:val="39"/>
    <w:link w:val="81"/>
    <w:uiPriority w:val="0"/>
    <w:rPr>
      <w:rFonts w:ascii="Times New Roman" w:hAnsi="Times New Roman" w:eastAsia="宋体" w:cs="Times New Roman"/>
      <w:b/>
      <w:szCs w:val="24"/>
    </w:rPr>
  </w:style>
  <w:style w:type="paragraph" w:customStyle="1" w:styleId="83">
    <w:name w:val="列出段落1"/>
    <w:basedOn w:val="1"/>
    <w:qFormat/>
    <w:uiPriority w:val="0"/>
    <w:pPr>
      <w:ind w:firstLine="420" w:firstLineChars="200"/>
    </w:pPr>
    <w:rPr>
      <w:rFonts w:ascii="Calibri" w:hAnsi="Calibri" w:eastAsia="宋体" w:cs="Calibri"/>
      <w:szCs w:val="21"/>
    </w:rPr>
  </w:style>
  <w:style w:type="paragraph" w:customStyle="1" w:styleId="84">
    <w:name w:val="表头标题"/>
    <w:basedOn w:val="77"/>
    <w:link w:val="85"/>
    <w:qFormat/>
    <w:uiPriority w:val="0"/>
    <w:pPr>
      <w:spacing w:beforeLines="50"/>
      <w:jc w:val="center"/>
    </w:pPr>
    <w:rPr>
      <w:rFonts w:ascii="宋体" w:hAnsi="宋体"/>
      <w:b/>
      <w:szCs w:val="24"/>
    </w:rPr>
  </w:style>
  <w:style w:type="character" w:customStyle="1" w:styleId="85">
    <w:name w:val="表头标题 Char"/>
    <w:link w:val="84"/>
    <w:uiPriority w:val="0"/>
    <w:rPr>
      <w:rFonts w:ascii="宋体" w:hAnsi="宋体" w:eastAsia="宋体" w:cs="Times New Roman"/>
      <w:b/>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customXml" Target="../customXml/item4.xml"/><Relationship Id="rId23" Type="http://schemas.openxmlformats.org/officeDocument/2006/relationships/customXml" Target="../customXml/item3.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dataSourceCollection xmlns="http://www.yonyou.com/datasource"/>
</file>

<file path=customXml/item4.xml><?xml version="1.0" encoding="utf-8"?>
<relations xmlns="http://www.yonyou.com/rela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730E33F-D1FA-48FF-8FDB-E95F3BA6DD11}">
  <ds:schemaRefs/>
</ds:datastoreItem>
</file>

<file path=customXml/itemProps3.xml><?xml version="1.0" encoding="utf-8"?>
<ds:datastoreItem xmlns:ds="http://schemas.openxmlformats.org/officeDocument/2006/customXml" ds:itemID="{6BC0C85B-024C-49A1-89CA-1A1A3B0F4157}">
  <ds:schemaRefs/>
</ds:datastoreItem>
</file>

<file path=customXml/itemProps4.xml><?xml version="1.0" encoding="utf-8"?>
<ds:datastoreItem xmlns:ds="http://schemas.openxmlformats.org/officeDocument/2006/customXml" ds:itemID="{C5D7E463-A10F-494B-AAC3-043C8AA8F383}">
  <ds:schemaRefs/>
</ds:datastoreItem>
</file>

<file path=docProps/app.xml><?xml version="1.0" encoding="utf-8"?>
<Properties xmlns="http://schemas.openxmlformats.org/officeDocument/2006/extended-properties" xmlns:vt="http://schemas.openxmlformats.org/officeDocument/2006/docPropsVTypes">
  <Template>Normal</Template>
  <Pages>14</Pages>
  <Words>1258</Words>
  <Characters>7174</Characters>
  <Lines>59</Lines>
  <Paragraphs>16</Paragraphs>
  <TotalTime>10</TotalTime>
  <ScaleCrop>false</ScaleCrop>
  <LinksUpToDate>false</LinksUpToDate>
  <CharactersWithSpaces>8416</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2016-05-21T03:42:00Z</dcterms:created>
  <dc:creator>Meng Tang</dc:creator>
  <cp:lastModifiedBy>毛建南</cp:lastModifiedBy>
  <dcterms:modified xsi:type="dcterms:W3CDTF">2021-10-27T04:53:42Z</dcterms:modified>
  <cp:revision>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